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5"/>
        <w:gridCol w:w="4183"/>
        <w:gridCol w:w="1702"/>
        <w:gridCol w:w="2860"/>
        <w:gridCol w:w="1241"/>
        <w:gridCol w:w="1645"/>
        <w:gridCol w:w="2015"/>
      </w:tblGrid>
      <w:tr w:rsidR="009B4BA5" w:rsidRPr="001C22A3" w14:paraId="6680F734" w14:textId="77777777" w:rsidTr="001C22A3">
        <w:trPr>
          <w:tblHeader/>
        </w:trPr>
        <w:tc>
          <w:tcPr>
            <w:tcW w:w="915" w:type="dxa"/>
            <w:vAlign w:val="center"/>
          </w:tcPr>
          <w:p w14:paraId="5DCD3DFF" w14:textId="77777777" w:rsidR="009B4BA5" w:rsidRPr="001C22A3" w:rsidRDefault="009B4BA5" w:rsidP="009B4BA5">
            <w:pPr>
              <w:spacing w:before="120" w:after="120" w:line="360" w:lineRule="exact"/>
              <w:jc w:val="center"/>
              <w:rPr>
                <w:rFonts w:eastAsia="Calibri"/>
                <w:b/>
                <w:bCs/>
                <w:sz w:val="24"/>
                <w:szCs w:val="24"/>
              </w:rPr>
            </w:pPr>
            <w:r w:rsidRPr="001C22A3">
              <w:rPr>
                <w:rFonts w:eastAsia="Calibri"/>
                <w:b/>
                <w:bCs/>
                <w:sz w:val="24"/>
                <w:szCs w:val="24"/>
              </w:rPr>
              <w:t>STT</w:t>
            </w:r>
          </w:p>
        </w:tc>
        <w:tc>
          <w:tcPr>
            <w:tcW w:w="4183" w:type="dxa"/>
            <w:vAlign w:val="center"/>
          </w:tcPr>
          <w:p w14:paraId="25D051C1" w14:textId="77777777" w:rsidR="009B4BA5" w:rsidRPr="001C22A3" w:rsidRDefault="009B4BA5" w:rsidP="009B4BA5">
            <w:pPr>
              <w:spacing w:before="120" w:after="120" w:line="360" w:lineRule="exact"/>
              <w:jc w:val="center"/>
              <w:rPr>
                <w:rFonts w:eastAsia="Calibri"/>
                <w:b/>
                <w:bCs/>
                <w:sz w:val="24"/>
                <w:szCs w:val="24"/>
              </w:rPr>
            </w:pPr>
            <w:r w:rsidRPr="001C22A3">
              <w:rPr>
                <w:rFonts w:eastAsia="Calibri"/>
                <w:b/>
                <w:bCs/>
                <w:sz w:val="24"/>
                <w:szCs w:val="24"/>
              </w:rPr>
              <w:t>Tên thủ tục</w:t>
            </w:r>
          </w:p>
        </w:tc>
        <w:tc>
          <w:tcPr>
            <w:tcW w:w="1702" w:type="dxa"/>
            <w:vAlign w:val="center"/>
          </w:tcPr>
          <w:p w14:paraId="43DD2517" w14:textId="77777777" w:rsidR="009B4BA5" w:rsidRPr="001C22A3" w:rsidRDefault="009B4BA5" w:rsidP="009B4BA5">
            <w:pPr>
              <w:spacing w:before="120" w:after="120" w:line="360" w:lineRule="exact"/>
              <w:jc w:val="center"/>
              <w:rPr>
                <w:rFonts w:eastAsia="Calibri"/>
                <w:b/>
                <w:bCs/>
                <w:sz w:val="24"/>
                <w:szCs w:val="24"/>
              </w:rPr>
            </w:pPr>
            <w:r w:rsidRPr="001C22A3">
              <w:rPr>
                <w:rFonts w:eastAsia="Calibri"/>
                <w:b/>
                <w:bCs/>
                <w:sz w:val="24"/>
                <w:szCs w:val="24"/>
              </w:rPr>
              <w:t>Mã thủ tục</w:t>
            </w:r>
          </w:p>
        </w:tc>
        <w:tc>
          <w:tcPr>
            <w:tcW w:w="2860" w:type="dxa"/>
            <w:vAlign w:val="center"/>
          </w:tcPr>
          <w:p w14:paraId="15E4C43E" w14:textId="77777777" w:rsidR="009B4BA5" w:rsidRPr="001C22A3" w:rsidRDefault="009B4BA5" w:rsidP="009B4BA5">
            <w:pPr>
              <w:spacing w:before="120" w:after="120" w:line="360" w:lineRule="exact"/>
              <w:jc w:val="center"/>
              <w:rPr>
                <w:rFonts w:eastAsia="Calibri"/>
                <w:b/>
                <w:bCs/>
                <w:sz w:val="24"/>
                <w:szCs w:val="24"/>
              </w:rPr>
            </w:pPr>
            <w:r w:rsidRPr="001C22A3">
              <w:rPr>
                <w:rFonts w:eastAsia="Calibri"/>
                <w:b/>
                <w:bCs/>
                <w:sz w:val="24"/>
                <w:szCs w:val="24"/>
              </w:rPr>
              <w:t>Lĩnh vực</w:t>
            </w:r>
          </w:p>
        </w:tc>
        <w:tc>
          <w:tcPr>
            <w:tcW w:w="1241" w:type="dxa"/>
            <w:vAlign w:val="center"/>
          </w:tcPr>
          <w:p w14:paraId="04492CAF" w14:textId="77777777" w:rsidR="009B4BA5" w:rsidRPr="001C22A3" w:rsidRDefault="009B4BA5" w:rsidP="009B4BA5">
            <w:pPr>
              <w:spacing w:before="120" w:after="120" w:line="360" w:lineRule="exact"/>
              <w:jc w:val="center"/>
              <w:rPr>
                <w:rFonts w:eastAsia="Calibri"/>
                <w:b/>
                <w:bCs/>
                <w:sz w:val="24"/>
                <w:szCs w:val="24"/>
              </w:rPr>
            </w:pPr>
            <w:r w:rsidRPr="001C22A3">
              <w:rPr>
                <w:rFonts w:eastAsia="Calibri"/>
                <w:b/>
                <w:bCs/>
                <w:sz w:val="24"/>
                <w:szCs w:val="24"/>
              </w:rPr>
              <w:t>Tiếp nhận, trả kết quả</w:t>
            </w:r>
          </w:p>
        </w:tc>
        <w:tc>
          <w:tcPr>
            <w:tcW w:w="1645" w:type="dxa"/>
            <w:vAlign w:val="center"/>
          </w:tcPr>
          <w:p w14:paraId="0643E4DC" w14:textId="77777777" w:rsidR="009B4BA5" w:rsidRPr="001C22A3" w:rsidRDefault="009B4BA5" w:rsidP="009B4BA5">
            <w:pPr>
              <w:spacing w:before="120" w:after="120" w:line="360" w:lineRule="exact"/>
              <w:jc w:val="center"/>
              <w:rPr>
                <w:rFonts w:eastAsia="Calibri"/>
                <w:b/>
                <w:bCs/>
                <w:sz w:val="24"/>
                <w:szCs w:val="24"/>
              </w:rPr>
            </w:pPr>
            <w:r w:rsidRPr="001C22A3">
              <w:rPr>
                <w:rFonts w:eastAsia="Calibri"/>
                <w:b/>
                <w:bCs/>
                <w:sz w:val="24"/>
                <w:szCs w:val="24"/>
              </w:rPr>
              <w:t>Tiếp nhận, giải quyết và trả kết quả</w:t>
            </w:r>
          </w:p>
        </w:tc>
        <w:tc>
          <w:tcPr>
            <w:tcW w:w="2015" w:type="dxa"/>
            <w:vAlign w:val="center"/>
          </w:tcPr>
          <w:p w14:paraId="75AF70A2" w14:textId="44CF0FF0" w:rsidR="009B4BA5" w:rsidRPr="001C22A3" w:rsidRDefault="009B4BA5" w:rsidP="009B4BA5">
            <w:pPr>
              <w:spacing w:before="120" w:after="120" w:line="360" w:lineRule="exact"/>
              <w:jc w:val="center"/>
              <w:rPr>
                <w:rFonts w:eastAsia="Calibri"/>
                <w:b/>
                <w:bCs/>
                <w:sz w:val="24"/>
                <w:szCs w:val="24"/>
              </w:rPr>
            </w:pPr>
            <w:r w:rsidRPr="001C22A3">
              <w:rPr>
                <w:rFonts w:eastAsia="Calibri"/>
                <w:b/>
                <w:bCs/>
                <w:sz w:val="24"/>
                <w:szCs w:val="24"/>
              </w:rPr>
              <w:t xml:space="preserve">Văn quy định TTHC hoặc văn bản phân cấp, ủy </w:t>
            </w:r>
            <w:proofErr w:type="spellStart"/>
            <w:r w:rsidRPr="001C22A3">
              <w:rPr>
                <w:rFonts w:eastAsia="Calibri"/>
                <w:b/>
                <w:bCs/>
                <w:sz w:val="24"/>
                <w:szCs w:val="24"/>
              </w:rPr>
              <w:t>quyền</w:t>
            </w:r>
            <w:proofErr w:type="spellEnd"/>
            <w:r w:rsidRPr="001C22A3">
              <w:rPr>
                <w:rFonts w:eastAsia="Calibri"/>
                <w:b/>
                <w:bCs/>
                <w:sz w:val="24"/>
                <w:szCs w:val="24"/>
              </w:rPr>
              <w:t xml:space="preserve"> </w:t>
            </w:r>
            <w:proofErr w:type="spellStart"/>
            <w:r w:rsidRPr="001C22A3">
              <w:rPr>
                <w:rFonts w:eastAsia="Calibri"/>
                <w:b/>
                <w:bCs/>
                <w:sz w:val="24"/>
                <w:szCs w:val="24"/>
              </w:rPr>
              <w:t>giải</w:t>
            </w:r>
            <w:proofErr w:type="spellEnd"/>
            <w:r w:rsidRPr="001C22A3">
              <w:rPr>
                <w:rFonts w:eastAsia="Calibri"/>
                <w:b/>
                <w:bCs/>
                <w:sz w:val="24"/>
                <w:szCs w:val="24"/>
              </w:rPr>
              <w:t xml:space="preserve"> </w:t>
            </w:r>
            <w:proofErr w:type="spellStart"/>
            <w:r w:rsidRPr="001C22A3">
              <w:rPr>
                <w:rFonts w:eastAsia="Calibri"/>
                <w:b/>
                <w:bCs/>
                <w:sz w:val="24"/>
                <w:szCs w:val="24"/>
              </w:rPr>
              <w:t>quyết</w:t>
            </w:r>
            <w:proofErr w:type="spellEnd"/>
            <w:r w:rsidRPr="001C22A3">
              <w:rPr>
                <w:rFonts w:eastAsia="Calibri"/>
                <w:b/>
                <w:bCs/>
                <w:sz w:val="24"/>
                <w:szCs w:val="24"/>
              </w:rPr>
              <w:t xml:space="preserve"> TTHC</w:t>
            </w:r>
          </w:p>
        </w:tc>
      </w:tr>
      <w:tr w:rsidR="001C22A3" w:rsidRPr="001C22A3" w14:paraId="2C570E59" w14:textId="77777777" w:rsidTr="009640E0">
        <w:tc>
          <w:tcPr>
            <w:tcW w:w="915" w:type="dxa"/>
          </w:tcPr>
          <w:p w14:paraId="691F8A13" w14:textId="67D6904D" w:rsidR="001C22A3" w:rsidRPr="001C22A3" w:rsidRDefault="001C22A3" w:rsidP="001C22A3">
            <w:pPr>
              <w:spacing w:before="120" w:after="120" w:line="360" w:lineRule="exact"/>
              <w:jc w:val="both"/>
              <w:rPr>
                <w:rFonts w:eastAsia="Calibri"/>
                <w:b/>
                <w:bCs/>
                <w:sz w:val="24"/>
                <w:szCs w:val="24"/>
              </w:rPr>
            </w:pPr>
            <w:r w:rsidRPr="001C22A3">
              <w:rPr>
                <w:rFonts w:eastAsia="Calibri"/>
                <w:b/>
                <w:bCs/>
                <w:sz w:val="24"/>
                <w:szCs w:val="24"/>
              </w:rPr>
              <w:t xml:space="preserve"> III</w:t>
            </w:r>
          </w:p>
        </w:tc>
        <w:tc>
          <w:tcPr>
            <w:tcW w:w="13646" w:type="dxa"/>
            <w:gridSpan w:val="6"/>
            <w:vAlign w:val="center"/>
          </w:tcPr>
          <w:p w14:paraId="2853A7BF" w14:textId="1499B922" w:rsidR="001C22A3" w:rsidRPr="001C22A3" w:rsidRDefault="001C22A3" w:rsidP="009B4BA5">
            <w:pPr>
              <w:spacing w:before="120" w:after="120" w:line="360" w:lineRule="exact"/>
              <w:jc w:val="both"/>
              <w:rPr>
                <w:rFonts w:eastAsia="Calibri"/>
                <w:sz w:val="24"/>
                <w:szCs w:val="24"/>
              </w:rPr>
            </w:pPr>
            <w:r w:rsidRPr="001C22A3">
              <w:rPr>
                <w:b/>
                <w:bCs/>
                <w:spacing w:val="-4"/>
                <w:sz w:val="24"/>
                <w:szCs w:val="24"/>
              </w:rPr>
              <w:t xml:space="preserve">Ban Quản </w:t>
            </w:r>
            <w:proofErr w:type="spellStart"/>
            <w:r w:rsidRPr="001C22A3">
              <w:rPr>
                <w:b/>
                <w:bCs/>
                <w:spacing w:val="-4"/>
                <w:sz w:val="24"/>
                <w:szCs w:val="24"/>
              </w:rPr>
              <w:t>lý</w:t>
            </w:r>
            <w:proofErr w:type="spellEnd"/>
            <w:r w:rsidRPr="001C22A3">
              <w:rPr>
                <w:b/>
                <w:bCs/>
                <w:spacing w:val="-4"/>
                <w:sz w:val="24"/>
                <w:szCs w:val="24"/>
              </w:rPr>
              <w:t xml:space="preserve"> </w:t>
            </w:r>
            <w:proofErr w:type="spellStart"/>
            <w:r w:rsidRPr="001C22A3">
              <w:rPr>
                <w:b/>
                <w:bCs/>
                <w:spacing w:val="-4"/>
                <w:sz w:val="24"/>
                <w:szCs w:val="24"/>
              </w:rPr>
              <w:t>các</w:t>
            </w:r>
            <w:proofErr w:type="spellEnd"/>
            <w:r w:rsidRPr="001C22A3">
              <w:rPr>
                <w:b/>
                <w:bCs/>
                <w:spacing w:val="-4"/>
                <w:sz w:val="24"/>
                <w:szCs w:val="24"/>
              </w:rPr>
              <w:t xml:space="preserve"> Khu Công </w:t>
            </w:r>
            <w:proofErr w:type="spellStart"/>
            <w:r w:rsidRPr="001C22A3">
              <w:rPr>
                <w:b/>
                <w:bCs/>
                <w:spacing w:val="-4"/>
                <w:sz w:val="24"/>
                <w:szCs w:val="24"/>
              </w:rPr>
              <w:t>nghiệp</w:t>
            </w:r>
            <w:proofErr w:type="spellEnd"/>
            <w:r w:rsidRPr="001C22A3">
              <w:rPr>
                <w:b/>
                <w:bCs/>
                <w:spacing w:val="-4"/>
                <w:sz w:val="24"/>
                <w:szCs w:val="24"/>
              </w:rPr>
              <w:t xml:space="preserve"> Thái Nguyên</w:t>
            </w:r>
          </w:p>
        </w:tc>
      </w:tr>
      <w:tr w:rsidR="009B4BA5" w:rsidRPr="001C22A3" w14:paraId="17BD4DB6" w14:textId="77777777" w:rsidTr="001C22A3">
        <w:tc>
          <w:tcPr>
            <w:tcW w:w="915" w:type="dxa"/>
          </w:tcPr>
          <w:p w14:paraId="2CA4F6CF" w14:textId="77777777" w:rsidR="009B4BA5" w:rsidRPr="001C22A3" w:rsidRDefault="009B4BA5" w:rsidP="009B4BA5">
            <w:pPr>
              <w:numPr>
                <w:ilvl w:val="0"/>
                <w:numId w:val="2"/>
              </w:numPr>
              <w:spacing w:before="120" w:after="120" w:line="360" w:lineRule="exact"/>
              <w:ind w:left="567"/>
              <w:jc w:val="both"/>
              <w:rPr>
                <w:rFonts w:eastAsia="Calibri"/>
                <w:sz w:val="24"/>
                <w:szCs w:val="24"/>
              </w:rPr>
            </w:pPr>
          </w:p>
        </w:tc>
        <w:tc>
          <w:tcPr>
            <w:tcW w:w="4183" w:type="dxa"/>
            <w:vAlign w:val="center"/>
          </w:tcPr>
          <w:p w14:paraId="4F9D303A" w14:textId="77777777" w:rsidR="009B4BA5" w:rsidRPr="001C22A3" w:rsidRDefault="009B4BA5" w:rsidP="009B4BA5">
            <w:pPr>
              <w:ind w:left="73" w:right="102"/>
              <w:jc w:val="both"/>
              <w:rPr>
                <w:spacing w:val="-4"/>
                <w:sz w:val="24"/>
                <w:szCs w:val="24"/>
                <w:lang w:val="vi-VN"/>
              </w:rPr>
            </w:pPr>
            <w:bookmarkStart w:id="0" w:name="_Hlk210393668"/>
            <w:r w:rsidRPr="001C22A3">
              <w:rPr>
                <w:spacing w:val="-4"/>
                <w:sz w:val="24"/>
                <w:szCs w:val="24"/>
                <w:lang w:val="vi-VN"/>
              </w:rPr>
              <w:t xml:space="preserve">Thủ tục chấp thuận chủ trương đầu tư </w:t>
            </w:r>
            <w:r w:rsidRPr="001C22A3">
              <w:rPr>
                <w:spacing w:val="-4"/>
                <w:sz w:val="24"/>
                <w:szCs w:val="24"/>
                <w:lang w:val="sv-SE"/>
              </w:rPr>
              <w:t xml:space="preserve">thuộc thẩm quyền </w:t>
            </w:r>
            <w:r w:rsidRPr="001C22A3">
              <w:rPr>
                <w:spacing w:val="-4"/>
                <w:sz w:val="24"/>
                <w:szCs w:val="24"/>
                <w:lang w:val="vi-VN"/>
              </w:rPr>
              <w:t xml:space="preserve">của Ban Quản lý </w:t>
            </w:r>
            <w:bookmarkEnd w:id="0"/>
          </w:p>
        </w:tc>
        <w:tc>
          <w:tcPr>
            <w:tcW w:w="1702" w:type="dxa"/>
            <w:vAlign w:val="center"/>
          </w:tcPr>
          <w:p w14:paraId="5C4FFBEB" w14:textId="77777777" w:rsidR="009B4BA5" w:rsidRPr="001C22A3" w:rsidRDefault="009B4BA5" w:rsidP="009B4BA5">
            <w:pPr>
              <w:tabs>
                <w:tab w:val="left" w:pos="709"/>
              </w:tabs>
              <w:jc w:val="center"/>
              <w:rPr>
                <w:iCs/>
                <w:sz w:val="24"/>
                <w:szCs w:val="24"/>
              </w:rPr>
            </w:pPr>
            <w:r w:rsidRPr="001C22A3">
              <w:rPr>
                <w:iCs/>
                <w:sz w:val="24"/>
                <w:szCs w:val="24"/>
                <w:lang w:val="vi-VN"/>
              </w:rPr>
              <w:t>1.009748</w:t>
            </w:r>
          </w:p>
        </w:tc>
        <w:tc>
          <w:tcPr>
            <w:tcW w:w="2860" w:type="dxa"/>
            <w:vAlign w:val="center"/>
          </w:tcPr>
          <w:p w14:paraId="03805C9D" w14:textId="77777777" w:rsidR="009B4BA5" w:rsidRPr="001C22A3" w:rsidRDefault="009B4BA5" w:rsidP="009B4BA5">
            <w:pPr>
              <w:jc w:val="center"/>
              <w:rPr>
                <w:bCs/>
                <w:sz w:val="24"/>
                <w:szCs w:val="24"/>
              </w:rPr>
            </w:pPr>
            <w:r w:rsidRPr="001C22A3">
              <w:rPr>
                <w:bCs/>
                <w:sz w:val="24"/>
                <w:szCs w:val="24"/>
              </w:rPr>
              <w:t>Đầu tư tại Việt Nam</w:t>
            </w:r>
          </w:p>
        </w:tc>
        <w:tc>
          <w:tcPr>
            <w:tcW w:w="1241" w:type="dxa"/>
          </w:tcPr>
          <w:p w14:paraId="6E6D9846" w14:textId="77777777" w:rsidR="009B4BA5" w:rsidRPr="001C22A3" w:rsidRDefault="009B4BA5" w:rsidP="009B4BA5">
            <w:pPr>
              <w:spacing w:before="120" w:after="120" w:line="360" w:lineRule="exact"/>
              <w:jc w:val="center"/>
              <w:rPr>
                <w:rFonts w:eastAsia="Calibri"/>
                <w:sz w:val="24"/>
                <w:szCs w:val="24"/>
              </w:rPr>
            </w:pPr>
            <w:r w:rsidRPr="001C22A3">
              <w:rPr>
                <w:rFonts w:eastAsia="Calibri"/>
                <w:sz w:val="24"/>
                <w:szCs w:val="24"/>
              </w:rPr>
              <w:t>x</w:t>
            </w:r>
          </w:p>
        </w:tc>
        <w:tc>
          <w:tcPr>
            <w:tcW w:w="1645" w:type="dxa"/>
          </w:tcPr>
          <w:p w14:paraId="7D7799D5" w14:textId="77777777" w:rsidR="009B4BA5" w:rsidRPr="001C22A3" w:rsidRDefault="009B4BA5" w:rsidP="009B4BA5">
            <w:pPr>
              <w:spacing w:before="120" w:after="120" w:line="360" w:lineRule="exact"/>
              <w:jc w:val="both"/>
              <w:rPr>
                <w:rFonts w:eastAsia="Calibri"/>
                <w:sz w:val="24"/>
                <w:szCs w:val="24"/>
              </w:rPr>
            </w:pPr>
          </w:p>
        </w:tc>
        <w:tc>
          <w:tcPr>
            <w:tcW w:w="2015" w:type="dxa"/>
          </w:tcPr>
          <w:p w14:paraId="70556980" w14:textId="77777777" w:rsidR="009B4BA5" w:rsidRPr="001C22A3" w:rsidRDefault="009B4BA5" w:rsidP="009B4BA5">
            <w:pPr>
              <w:spacing w:before="120" w:after="120" w:line="360" w:lineRule="exact"/>
              <w:jc w:val="both"/>
              <w:rPr>
                <w:rFonts w:eastAsia="Calibri"/>
                <w:sz w:val="24"/>
                <w:szCs w:val="24"/>
              </w:rPr>
            </w:pPr>
          </w:p>
        </w:tc>
      </w:tr>
      <w:tr w:rsidR="009B4BA5" w:rsidRPr="001C22A3" w14:paraId="2E5825BA" w14:textId="77777777" w:rsidTr="001C22A3">
        <w:tc>
          <w:tcPr>
            <w:tcW w:w="915" w:type="dxa"/>
          </w:tcPr>
          <w:p w14:paraId="545AFC7C" w14:textId="77777777" w:rsidR="009B4BA5" w:rsidRPr="001C22A3" w:rsidRDefault="009B4BA5" w:rsidP="009B4BA5">
            <w:pPr>
              <w:numPr>
                <w:ilvl w:val="0"/>
                <w:numId w:val="2"/>
              </w:numPr>
              <w:spacing w:before="120" w:after="120" w:line="360" w:lineRule="exact"/>
              <w:ind w:left="567"/>
              <w:jc w:val="both"/>
              <w:rPr>
                <w:rFonts w:eastAsia="Calibri"/>
                <w:sz w:val="24"/>
                <w:szCs w:val="24"/>
              </w:rPr>
            </w:pPr>
          </w:p>
        </w:tc>
        <w:tc>
          <w:tcPr>
            <w:tcW w:w="4183" w:type="dxa"/>
            <w:vAlign w:val="center"/>
          </w:tcPr>
          <w:p w14:paraId="4194F1D2" w14:textId="77777777" w:rsidR="009B4BA5" w:rsidRPr="001C22A3" w:rsidRDefault="009B4BA5" w:rsidP="009B4BA5">
            <w:pPr>
              <w:ind w:left="73" w:right="102"/>
              <w:jc w:val="both"/>
              <w:rPr>
                <w:sz w:val="24"/>
                <w:szCs w:val="24"/>
                <w:lang w:val="vi-VN"/>
              </w:rPr>
            </w:pPr>
            <w:r w:rsidRPr="001C22A3">
              <w:rPr>
                <w:sz w:val="24"/>
                <w:szCs w:val="24"/>
                <w:shd w:val="clear" w:color="auto" w:fill="FFFFFF"/>
                <w:lang w:val="vi-VN"/>
              </w:rPr>
              <w:t xml:space="preserve">Thủ tục chấp thuận nhà đầu tư </w:t>
            </w:r>
            <w:r w:rsidRPr="001C22A3">
              <w:rPr>
                <w:sz w:val="24"/>
                <w:szCs w:val="24"/>
                <w:lang w:val="sv-SE"/>
              </w:rPr>
              <w:t xml:space="preserve">thuộc thẩm quyền </w:t>
            </w:r>
            <w:r w:rsidRPr="001C22A3">
              <w:rPr>
                <w:sz w:val="24"/>
                <w:szCs w:val="24"/>
                <w:lang w:val="vi-VN"/>
              </w:rPr>
              <w:t>của Ban Quản lý</w:t>
            </w:r>
          </w:p>
        </w:tc>
        <w:tc>
          <w:tcPr>
            <w:tcW w:w="1702" w:type="dxa"/>
            <w:vAlign w:val="center"/>
          </w:tcPr>
          <w:p w14:paraId="0A0DD7CA" w14:textId="77777777" w:rsidR="009B4BA5" w:rsidRPr="001C22A3" w:rsidRDefault="009B4BA5" w:rsidP="009B4BA5">
            <w:pPr>
              <w:jc w:val="center"/>
              <w:rPr>
                <w:iCs/>
                <w:sz w:val="24"/>
                <w:szCs w:val="24"/>
                <w:lang w:val="vi-VN"/>
              </w:rPr>
            </w:pPr>
            <w:r w:rsidRPr="001C22A3">
              <w:rPr>
                <w:sz w:val="24"/>
                <w:szCs w:val="24"/>
              </w:rPr>
              <w:t>1.009755</w:t>
            </w:r>
          </w:p>
        </w:tc>
        <w:tc>
          <w:tcPr>
            <w:tcW w:w="2860" w:type="dxa"/>
            <w:vAlign w:val="center"/>
          </w:tcPr>
          <w:p w14:paraId="501C1355" w14:textId="77777777" w:rsidR="009B4BA5" w:rsidRPr="001C22A3" w:rsidRDefault="009B4BA5" w:rsidP="009B4BA5">
            <w:pPr>
              <w:jc w:val="center"/>
              <w:rPr>
                <w:bCs/>
                <w:sz w:val="24"/>
                <w:szCs w:val="24"/>
              </w:rPr>
            </w:pPr>
            <w:r w:rsidRPr="001C22A3">
              <w:rPr>
                <w:bCs/>
                <w:sz w:val="24"/>
                <w:szCs w:val="24"/>
              </w:rPr>
              <w:t>Đầu tư tại Việt Nam</w:t>
            </w:r>
          </w:p>
        </w:tc>
        <w:tc>
          <w:tcPr>
            <w:tcW w:w="1241" w:type="dxa"/>
          </w:tcPr>
          <w:p w14:paraId="601E917F" w14:textId="77777777" w:rsidR="009B4BA5" w:rsidRPr="001C22A3" w:rsidRDefault="009B4BA5" w:rsidP="009B4BA5">
            <w:pPr>
              <w:spacing w:before="120" w:after="120" w:line="360" w:lineRule="exact"/>
              <w:jc w:val="center"/>
              <w:rPr>
                <w:rFonts w:eastAsia="Calibri"/>
                <w:sz w:val="24"/>
                <w:szCs w:val="24"/>
              </w:rPr>
            </w:pPr>
            <w:r w:rsidRPr="001C22A3">
              <w:rPr>
                <w:rFonts w:eastAsia="Calibri"/>
                <w:sz w:val="24"/>
                <w:szCs w:val="24"/>
              </w:rPr>
              <w:t>x</w:t>
            </w:r>
          </w:p>
        </w:tc>
        <w:tc>
          <w:tcPr>
            <w:tcW w:w="1645" w:type="dxa"/>
          </w:tcPr>
          <w:p w14:paraId="0FC0AB60" w14:textId="77777777" w:rsidR="009B4BA5" w:rsidRPr="001C22A3" w:rsidRDefault="009B4BA5" w:rsidP="009B4BA5">
            <w:pPr>
              <w:spacing w:before="120" w:after="120" w:line="360" w:lineRule="exact"/>
              <w:jc w:val="both"/>
              <w:rPr>
                <w:rFonts w:eastAsia="Calibri"/>
                <w:sz w:val="24"/>
                <w:szCs w:val="24"/>
                <w:lang w:val="vi-VN"/>
              </w:rPr>
            </w:pPr>
          </w:p>
        </w:tc>
        <w:tc>
          <w:tcPr>
            <w:tcW w:w="2015" w:type="dxa"/>
          </w:tcPr>
          <w:p w14:paraId="6D7B4D7A" w14:textId="77777777" w:rsidR="009B4BA5" w:rsidRPr="001C22A3" w:rsidRDefault="009B4BA5" w:rsidP="009B4BA5">
            <w:pPr>
              <w:spacing w:before="120" w:after="120" w:line="360" w:lineRule="exact"/>
              <w:jc w:val="both"/>
              <w:rPr>
                <w:rFonts w:eastAsia="Calibri"/>
                <w:sz w:val="24"/>
                <w:szCs w:val="24"/>
                <w:lang w:val="vi-VN"/>
              </w:rPr>
            </w:pPr>
          </w:p>
        </w:tc>
      </w:tr>
      <w:tr w:rsidR="009B4BA5" w:rsidRPr="001C22A3" w14:paraId="3DCA02B4" w14:textId="77777777" w:rsidTr="001C22A3">
        <w:tc>
          <w:tcPr>
            <w:tcW w:w="915" w:type="dxa"/>
          </w:tcPr>
          <w:p w14:paraId="06AC1356" w14:textId="77777777" w:rsidR="009B4BA5" w:rsidRPr="001C22A3" w:rsidRDefault="009B4BA5" w:rsidP="009B4BA5">
            <w:pPr>
              <w:numPr>
                <w:ilvl w:val="0"/>
                <w:numId w:val="2"/>
              </w:numPr>
              <w:spacing w:before="120" w:after="120" w:line="360" w:lineRule="exact"/>
              <w:ind w:left="567"/>
              <w:jc w:val="both"/>
              <w:rPr>
                <w:rFonts w:eastAsia="Calibri"/>
                <w:sz w:val="24"/>
                <w:szCs w:val="24"/>
                <w:lang w:val="vi-VN"/>
              </w:rPr>
            </w:pPr>
          </w:p>
        </w:tc>
        <w:tc>
          <w:tcPr>
            <w:tcW w:w="4183" w:type="dxa"/>
            <w:vAlign w:val="center"/>
          </w:tcPr>
          <w:p w14:paraId="126E77A7" w14:textId="77777777" w:rsidR="009B4BA5" w:rsidRPr="001C22A3" w:rsidRDefault="009B4BA5" w:rsidP="009B4BA5">
            <w:pPr>
              <w:ind w:left="73" w:right="102"/>
              <w:jc w:val="both"/>
              <w:rPr>
                <w:sz w:val="24"/>
                <w:szCs w:val="24"/>
                <w:highlight w:val="yellow"/>
                <w:lang w:val="vi-VN"/>
              </w:rPr>
            </w:pPr>
            <w:r w:rsidRPr="001C22A3">
              <w:rPr>
                <w:sz w:val="24"/>
                <w:szCs w:val="24"/>
                <w:lang w:val="vi-VN"/>
              </w:rPr>
              <w:t xml:space="preserve">Thủ tục cấp </w:t>
            </w:r>
            <w:r w:rsidRPr="001C22A3">
              <w:rPr>
                <w:sz w:val="24"/>
                <w:szCs w:val="24"/>
                <w:shd w:val="clear" w:color="auto" w:fill="FFFFFF"/>
                <w:lang w:val="vi-VN"/>
              </w:rPr>
              <w:t xml:space="preserve">Giấy chứng nhận đăng ký đầu tư đối với dự án không thuộc diện chấp thuận chủ trương đầu tư </w:t>
            </w:r>
            <w:r w:rsidRPr="001C22A3">
              <w:rPr>
                <w:sz w:val="24"/>
                <w:szCs w:val="24"/>
                <w:lang w:val="vi-VN"/>
              </w:rPr>
              <w:t>(Ban Quản lý thực hiện)</w:t>
            </w:r>
          </w:p>
        </w:tc>
        <w:tc>
          <w:tcPr>
            <w:tcW w:w="1702" w:type="dxa"/>
            <w:vAlign w:val="center"/>
          </w:tcPr>
          <w:p w14:paraId="32F0F7FE" w14:textId="77777777" w:rsidR="009B4BA5" w:rsidRPr="001C22A3" w:rsidRDefault="009B4BA5" w:rsidP="009B4BA5">
            <w:pPr>
              <w:tabs>
                <w:tab w:val="left" w:pos="709"/>
              </w:tabs>
              <w:jc w:val="center"/>
              <w:rPr>
                <w:iCs/>
                <w:sz w:val="24"/>
                <w:szCs w:val="24"/>
              </w:rPr>
            </w:pPr>
            <w:r w:rsidRPr="001C22A3">
              <w:rPr>
                <w:iCs/>
                <w:sz w:val="24"/>
                <w:szCs w:val="24"/>
                <w:lang w:val="vi-VN"/>
              </w:rPr>
              <w:t>1.009756</w:t>
            </w:r>
          </w:p>
        </w:tc>
        <w:tc>
          <w:tcPr>
            <w:tcW w:w="2860" w:type="dxa"/>
            <w:vAlign w:val="center"/>
          </w:tcPr>
          <w:p w14:paraId="61669932" w14:textId="77777777" w:rsidR="009B4BA5" w:rsidRPr="001C22A3" w:rsidRDefault="009B4BA5" w:rsidP="009B4BA5">
            <w:pPr>
              <w:jc w:val="center"/>
              <w:rPr>
                <w:bCs/>
                <w:sz w:val="24"/>
                <w:szCs w:val="24"/>
              </w:rPr>
            </w:pPr>
            <w:r w:rsidRPr="001C22A3">
              <w:rPr>
                <w:bCs/>
                <w:sz w:val="24"/>
                <w:szCs w:val="24"/>
              </w:rPr>
              <w:t>Đầu tư tại Việt Nam</w:t>
            </w:r>
          </w:p>
        </w:tc>
        <w:tc>
          <w:tcPr>
            <w:tcW w:w="1241" w:type="dxa"/>
          </w:tcPr>
          <w:p w14:paraId="38100FC5" w14:textId="77777777" w:rsidR="009B4BA5" w:rsidRPr="001C22A3" w:rsidRDefault="009B4BA5" w:rsidP="009B4BA5">
            <w:pPr>
              <w:spacing w:before="120" w:after="120" w:line="360" w:lineRule="exact"/>
              <w:jc w:val="center"/>
              <w:rPr>
                <w:rFonts w:eastAsia="Calibri"/>
                <w:sz w:val="24"/>
                <w:szCs w:val="24"/>
              </w:rPr>
            </w:pPr>
            <w:r w:rsidRPr="001C22A3">
              <w:rPr>
                <w:rFonts w:eastAsia="Calibri"/>
                <w:sz w:val="24"/>
                <w:szCs w:val="24"/>
              </w:rPr>
              <w:t>x</w:t>
            </w:r>
          </w:p>
        </w:tc>
        <w:tc>
          <w:tcPr>
            <w:tcW w:w="1645" w:type="dxa"/>
          </w:tcPr>
          <w:p w14:paraId="5B39D507" w14:textId="77777777" w:rsidR="009B4BA5" w:rsidRPr="001C22A3" w:rsidRDefault="009B4BA5" w:rsidP="009B4BA5">
            <w:pPr>
              <w:spacing w:before="120" w:after="120" w:line="360" w:lineRule="exact"/>
              <w:jc w:val="both"/>
              <w:rPr>
                <w:rFonts w:eastAsia="Calibri"/>
                <w:sz w:val="24"/>
                <w:szCs w:val="24"/>
              </w:rPr>
            </w:pPr>
          </w:p>
        </w:tc>
        <w:tc>
          <w:tcPr>
            <w:tcW w:w="2015" w:type="dxa"/>
          </w:tcPr>
          <w:p w14:paraId="54AE4CED" w14:textId="77777777" w:rsidR="009B4BA5" w:rsidRPr="001C22A3" w:rsidRDefault="009B4BA5" w:rsidP="009B4BA5">
            <w:pPr>
              <w:spacing w:before="120" w:after="120" w:line="360" w:lineRule="exact"/>
              <w:jc w:val="both"/>
              <w:rPr>
                <w:rFonts w:eastAsia="Calibri"/>
                <w:sz w:val="24"/>
                <w:szCs w:val="24"/>
              </w:rPr>
            </w:pPr>
          </w:p>
        </w:tc>
      </w:tr>
      <w:tr w:rsidR="009B4BA5" w:rsidRPr="001C22A3" w14:paraId="4BD87AB5" w14:textId="77777777" w:rsidTr="001C22A3">
        <w:tc>
          <w:tcPr>
            <w:tcW w:w="915" w:type="dxa"/>
          </w:tcPr>
          <w:p w14:paraId="09D68EBB" w14:textId="77777777" w:rsidR="009B4BA5" w:rsidRPr="001C22A3" w:rsidRDefault="009B4BA5" w:rsidP="009B4BA5">
            <w:pPr>
              <w:numPr>
                <w:ilvl w:val="0"/>
                <w:numId w:val="2"/>
              </w:numPr>
              <w:spacing w:before="120" w:after="120" w:line="360" w:lineRule="exact"/>
              <w:ind w:left="567"/>
              <w:jc w:val="both"/>
              <w:rPr>
                <w:rFonts w:eastAsia="Calibri"/>
                <w:sz w:val="24"/>
                <w:szCs w:val="24"/>
              </w:rPr>
            </w:pPr>
          </w:p>
        </w:tc>
        <w:tc>
          <w:tcPr>
            <w:tcW w:w="4183" w:type="dxa"/>
            <w:vAlign w:val="center"/>
          </w:tcPr>
          <w:p w14:paraId="072E5F86" w14:textId="77777777" w:rsidR="009B4BA5" w:rsidRPr="001C22A3" w:rsidRDefault="009B4BA5" w:rsidP="009B4BA5">
            <w:pPr>
              <w:ind w:left="73" w:right="102"/>
              <w:jc w:val="both"/>
              <w:rPr>
                <w:sz w:val="24"/>
                <w:szCs w:val="24"/>
                <w:lang w:val="vi-VN"/>
              </w:rPr>
            </w:pPr>
            <w:r w:rsidRPr="001C22A3">
              <w:rPr>
                <w:sz w:val="24"/>
                <w:szCs w:val="24"/>
                <w:lang w:val="de-DE"/>
              </w:rPr>
              <w:t xml:space="preserve">Thủ tục </w:t>
            </w:r>
            <w:r w:rsidRPr="001C22A3">
              <w:rPr>
                <w:sz w:val="24"/>
                <w:szCs w:val="24"/>
                <w:lang w:val="sv-SE"/>
              </w:rPr>
              <w:t xml:space="preserve">gia hạn thời hạn hoạt động của dự án đầu tư thuộc thẩm quyền </w:t>
            </w:r>
            <w:r w:rsidRPr="001C22A3">
              <w:rPr>
                <w:sz w:val="24"/>
                <w:szCs w:val="24"/>
                <w:lang w:val="vi-VN"/>
              </w:rPr>
              <w:t>Ban Quản lý</w:t>
            </w:r>
          </w:p>
        </w:tc>
        <w:tc>
          <w:tcPr>
            <w:tcW w:w="1702" w:type="dxa"/>
            <w:vAlign w:val="center"/>
          </w:tcPr>
          <w:p w14:paraId="19134504" w14:textId="77777777" w:rsidR="009B4BA5" w:rsidRPr="001C22A3" w:rsidRDefault="009B4BA5" w:rsidP="009B4BA5">
            <w:pPr>
              <w:jc w:val="center"/>
              <w:rPr>
                <w:iCs/>
                <w:sz w:val="24"/>
                <w:szCs w:val="24"/>
                <w:lang w:val="vi-VN"/>
              </w:rPr>
            </w:pPr>
            <w:r w:rsidRPr="001C22A3">
              <w:rPr>
                <w:sz w:val="24"/>
                <w:szCs w:val="24"/>
              </w:rPr>
              <w:t>1.009770</w:t>
            </w:r>
          </w:p>
        </w:tc>
        <w:tc>
          <w:tcPr>
            <w:tcW w:w="2860" w:type="dxa"/>
            <w:vAlign w:val="center"/>
          </w:tcPr>
          <w:p w14:paraId="134B59D0" w14:textId="77777777" w:rsidR="009B4BA5" w:rsidRPr="001C22A3" w:rsidRDefault="009B4BA5" w:rsidP="009B4BA5">
            <w:pPr>
              <w:jc w:val="center"/>
              <w:rPr>
                <w:bCs/>
                <w:sz w:val="24"/>
                <w:szCs w:val="24"/>
              </w:rPr>
            </w:pPr>
            <w:r w:rsidRPr="001C22A3">
              <w:rPr>
                <w:bCs/>
                <w:sz w:val="24"/>
                <w:szCs w:val="24"/>
              </w:rPr>
              <w:t>Đầu tư tại Việt Nam</w:t>
            </w:r>
          </w:p>
        </w:tc>
        <w:tc>
          <w:tcPr>
            <w:tcW w:w="1241" w:type="dxa"/>
          </w:tcPr>
          <w:p w14:paraId="4CC12C3F" w14:textId="77777777" w:rsidR="009B4BA5" w:rsidRPr="001C22A3" w:rsidRDefault="009B4BA5" w:rsidP="009B4BA5">
            <w:pPr>
              <w:spacing w:before="120" w:after="120" w:line="360" w:lineRule="exact"/>
              <w:jc w:val="center"/>
              <w:rPr>
                <w:rFonts w:eastAsia="Calibri"/>
                <w:sz w:val="24"/>
                <w:szCs w:val="24"/>
              </w:rPr>
            </w:pPr>
            <w:r w:rsidRPr="001C22A3">
              <w:rPr>
                <w:rFonts w:eastAsia="Calibri"/>
                <w:sz w:val="24"/>
                <w:szCs w:val="24"/>
              </w:rPr>
              <w:t>x</w:t>
            </w:r>
          </w:p>
        </w:tc>
        <w:tc>
          <w:tcPr>
            <w:tcW w:w="1645" w:type="dxa"/>
          </w:tcPr>
          <w:p w14:paraId="29CB42C2" w14:textId="77777777" w:rsidR="009B4BA5" w:rsidRPr="001C22A3" w:rsidRDefault="009B4BA5" w:rsidP="009B4BA5">
            <w:pPr>
              <w:spacing w:before="120" w:after="120" w:line="360" w:lineRule="exact"/>
              <w:jc w:val="both"/>
              <w:rPr>
                <w:rFonts w:eastAsia="Calibri"/>
                <w:sz w:val="24"/>
                <w:szCs w:val="24"/>
                <w:lang w:val="vi-VN"/>
              </w:rPr>
            </w:pPr>
          </w:p>
        </w:tc>
        <w:tc>
          <w:tcPr>
            <w:tcW w:w="2015" w:type="dxa"/>
          </w:tcPr>
          <w:p w14:paraId="75CCC618" w14:textId="77777777" w:rsidR="009B4BA5" w:rsidRPr="001C22A3" w:rsidRDefault="009B4BA5" w:rsidP="009B4BA5">
            <w:pPr>
              <w:spacing w:before="120" w:after="120" w:line="360" w:lineRule="exact"/>
              <w:jc w:val="both"/>
              <w:rPr>
                <w:rFonts w:eastAsia="Calibri"/>
                <w:sz w:val="24"/>
                <w:szCs w:val="24"/>
                <w:lang w:val="vi-VN"/>
              </w:rPr>
            </w:pPr>
          </w:p>
        </w:tc>
      </w:tr>
      <w:tr w:rsidR="009B4BA5" w:rsidRPr="001C22A3" w14:paraId="4BF46DCD" w14:textId="77777777" w:rsidTr="001C22A3">
        <w:tc>
          <w:tcPr>
            <w:tcW w:w="915" w:type="dxa"/>
          </w:tcPr>
          <w:p w14:paraId="4AE8527C" w14:textId="77777777" w:rsidR="009B4BA5" w:rsidRPr="001C22A3" w:rsidRDefault="009B4BA5" w:rsidP="009B4BA5">
            <w:pPr>
              <w:numPr>
                <w:ilvl w:val="0"/>
                <w:numId w:val="2"/>
              </w:numPr>
              <w:spacing w:before="120" w:after="120" w:line="360" w:lineRule="exact"/>
              <w:ind w:left="567"/>
              <w:jc w:val="both"/>
              <w:rPr>
                <w:rFonts w:eastAsia="Calibri"/>
                <w:sz w:val="24"/>
                <w:szCs w:val="24"/>
                <w:lang w:val="vi-VN"/>
              </w:rPr>
            </w:pPr>
          </w:p>
        </w:tc>
        <w:tc>
          <w:tcPr>
            <w:tcW w:w="4183" w:type="dxa"/>
            <w:vAlign w:val="center"/>
          </w:tcPr>
          <w:p w14:paraId="4DB14BFE" w14:textId="77777777" w:rsidR="009B4BA5" w:rsidRPr="001C22A3" w:rsidRDefault="009B4BA5" w:rsidP="009B4BA5">
            <w:pPr>
              <w:ind w:left="73" w:right="102"/>
              <w:jc w:val="both"/>
              <w:rPr>
                <w:spacing w:val="-4"/>
                <w:sz w:val="24"/>
                <w:szCs w:val="24"/>
                <w:lang w:val="de-DE"/>
              </w:rPr>
            </w:pPr>
            <w:r w:rsidRPr="001C22A3">
              <w:rPr>
                <w:bCs/>
                <w:spacing w:val="-4"/>
                <w:sz w:val="24"/>
                <w:szCs w:val="24"/>
                <w:lang w:val="sv-SE"/>
              </w:rPr>
              <w:t>Thủ tục thực hiện hoạt động đầu tư theo hình thức góp vốn, mua cổ phần, mua phần vốn góp đối với nhà đầu tư nước ngoài (Ban Quản lý thực hiện)</w:t>
            </w:r>
          </w:p>
        </w:tc>
        <w:tc>
          <w:tcPr>
            <w:tcW w:w="1702" w:type="dxa"/>
            <w:vAlign w:val="center"/>
          </w:tcPr>
          <w:p w14:paraId="25BD2D29" w14:textId="77777777" w:rsidR="009B4BA5" w:rsidRPr="001C22A3" w:rsidRDefault="009B4BA5" w:rsidP="009B4BA5">
            <w:pPr>
              <w:jc w:val="center"/>
              <w:rPr>
                <w:iCs/>
                <w:sz w:val="24"/>
                <w:szCs w:val="24"/>
                <w:lang w:val="de-DE"/>
              </w:rPr>
            </w:pPr>
            <w:r w:rsidRPr="001C22A3">
              <w:rPr>
                <w:sz w:val="24"/>
                <w:szCs w:val="24"/>
              </w:rPr>
              <w:t>1.009775</w:t>
            </w:r>
          </w:p>
        </w:tc>
        <w:tc>
          <w:tcPr>
            <w:tcW w:w="2860" w:type="dxa"/>
            <w:vAlign w:val="center"/>
          </w:tcPr>
          <w:p w14:paraId="657A4839" w14:textId="77777777" w:rsidR="009B4BA5" w:rsidRPr="001C22A3" w:rsidRDefault="009B4BA5" w:rsidP="009B4BA5">
            <w:pPr>
              <w:jc w:val="center"/>
              <w:rPr>
                <w:bCs/>
                <w:sz w:val="24"/>
                <w:szCs w:val="24"/>
              </w:rPr>
            </w:pPr>
            <w:r w:rsidRPr="001C22A3">
              <w:rPr>
                <w:bCs/>
                <w:sz w:val="24"/>
                <w:szCs w:val="24"/>
              </w:rPr>
              <w:t>Đầu tư tại Việt Nam</w:t>
            </w:r>
          </w:p>
        </w:tc>
        <w:tc>
          <w:tcPr>
            <w:tcW w:w="1241" w:type="dxa"/>
          </w:tcPr>
          <w:p w14:paraId="1F3193BE" w14:textId="77777777" w:rsidR="009B4BA5" w:rsidRPr="001C22A3" w:rsidRDefault="009B4BA5" w:rsidP="009B4BA5">
            <w:pPr>
              <w:spacing w:before="120" w:after="120" w:line="360" w:lineRule="exact"/>
              <w:jc w:val="center"/>
              <w:rPr>
                <w:rFonts w:eastAsia="Calibri"/>
                <w:sz w:val="24"/>
                <w:szCs w:val="24"/>
                <w:lang w:val="de-DE"/>
              </w:rPr>
            </w:pPr>
            <w:r w:rsidRPr="001C22A3">
              <w:rPr>
                <w:rFonts w:eastAsia="Calibri"/>
                <w:sz w:val="24"/>
                <w:szCs w:val="24"/>
                <w:lang w:val="de-DE"/>
              </w:rPr>
              <w:t>x</w:t>
            </w:r>
          </w:p>
        </w:tc>
        <w:tc>
          <w:tcPr>
            <w:tcW w:w="1645" w:type="dxa"/>
          </w:tcPr>
          <w:p w14:paraId="4BFD9C1E" w14:textId="77777777" w:rsidR="009B4BA5" w:rsidRPr="001C22A3" w:rsidRDefault="009B4BA5" w:rsidP="009B4BA5">
            <w:pPr>
              <w:spacing w:before="120" w:after="120" w:line="360" w:lineRule="exact"/>
              <w:jc w:val="both"/>
              <w:rPr>
                <w:rFonts w:eastAsia="Calibri"/>
                <w:sz w:val="24"/>
                <w:szCs w:val="24"/>
                <w:lang w:val="de-DE"/>
              </w:rPr>
            </w:pPr>
          </w:p>
        </w:tc>
        <w:tc>
          <w:tcPr>
            <w:tcW w:w="2015" w:type="dxa"/>
          </w:tcPr>
          <w:p w14:paraId="5B5AF84C" w14:textId="77777777" w:rsidR="009B4BA5" w:rsidRPr="001C22A3" w:rsidRDefault="009B4BA5" w:rsidP="009B4BA5">
            <w:pPr>
              <w:spacing w:before="120" w:after="120" w:line="360" w:lineRule="exact"/>
              <w:jc w:val="both"/>
              <w:rPr>
                <w:rFonts w:eastAsia="Calibri"/>
                <w:sz w:val="24"/>
                <w:szCs w:val="24"/>
                <w:lang w:val="de-DE"/>
              </w:rPr>
            </w:pPr>
          </w:p>
        </w:tc>
      </w:tr>
      <w:tr w:rsidR="009B4BA5" w:rsidRPr="001C22A3" w14:paraId="7B84CBED" w14:textId="77777777" w:rsidTr="001C22A3">
        <w:tc>
          <w:tcPr>
            <w:tcW w:w="915" w:type="dxa"/>
          </w:tcPr>
          <w:p w14:paraId="7B25246A" w14:textId="77777777" w:rsidR="009B4BA5" w:rsidRPr="001C22A3" w:rsidRDefault="009B4BA5" w:rsidP="009B4BA5">
            <w:pPr>
              <w:numPr>
                <w:ilvl w:val="0"/>
                <w:numId w:val="2"/>
              </w:numPr>
              <w:spacing w:before="120" w:after="120" w:line="360" w:lineRule="exact"/>
              <w:ind w:left="567"/>
              <w:jc w:val="both"/>
              <w:rPr>
                <w:rFonts w:eastAsia="Calibri"/>
                <w:sz w:val="24"/>
                <w:szCs w:val="24"/>
                <w:lang w:val="de-DE"/>
              </w:rPr>
            </w:pPr>
          </w:p>
        </w:tc>
        <w:tc>
          <w:tcPr>
            <w:tcW w:w="4183" w:type="dxa"/>
            <w:vAlign w:val="center"/>
          </w:tcPr>
          <w:p w14:paraId="5AF2F9A2" w14:textId="77777777" w:rsidR="009B4BA5" w:rsidRPr="001C22A3" w:rsidRDefault="009B4BA5" w:rsidP="009B4BA5">
            <w:pPr>
              <w:ind w:left="73" w:right="102"/>
              <w:jc w:val="both"/>
              <w:rPr>
                <w:bCs/>
                <w:sz w:val="24"/>
                <w:szCs w:val="24"/>
                <w:lang w:val="sv-SE"/>
              </w:rPr>
            </w:pPr>
            <w:r w:rsidRPr="001C22A3">
              <w:rPr>
                <w:sz w:val="24"/>
                <w:szCs w:val="24"/>
                <w:lang w:val="de-DE"/>
              </w:rPr>
              <w:t>Thủ tục điều chỉnh dự án đầu tư thuộc thẩm quyền chấp thuận chủ trương đầu tư của Ban Quản lý</w:t>
            </w:r>
          </w:p>
        </w:tc>
        <w:tc>
          <w:tcPr>
            <w:tcW w:w="1702" w:type="dxa"/>
            <w:vAlign w:val="center"/>
          </w:tcPr>
          <w:p w14:paraId="365F90E5" w14:textId="77777777" w:rsidR="009B4BA5" w:rsidRPr="001C22A3" w:rsidRDefault="009B4BA5" w:rsidP="009B4BA5">
            <w:pPr>
              <w:jc w:val="center"/>
              <w:rPr>
                <w:iCs/>
                <w:sz w:val="24"/>
                <w:szCs w:val="24"/>
                <w:lang w:val="de-DE"/>
              </w:rPr>
            </w:pPr>
            <w:r w:rsidRPr="001C22A3">
              <w:rPr>
                <w:sz w:val="24"/>
                <w:szCs w:val="24"/>
              </w:rPr>
              <w:t>1.009759</w:t>
            </w:r>
          </w:p>
        </w:tc>
        <w:tc>
          <w:tcPr>
            <w:tcW w:w="2860" w:type="dxa"/>
            <w:vAlign w:val="center"/>
          </w:tcPr>
          <w:p w14:paraId="0B468141" w14:textId="77777777" w:rsidR="009B4BA5" w:rsidRPr="001C22A3" w:rsidRDefault="009B4BA5" w:rsidP="009B4BA5">
            <w:pPr>
              <w:jc w:val="center"/>
              <w:rPr>
                <w:bCs/>
                <w:sz w:val="24"/>
                <w:szCs w:val="24"/>
              </w:rPr>
            </w:pPr>
            <w:r w:rsidRPr="001C22A3">
              <w:rPr>
                <w:bCs/>
                <w:sz w:val="24"/>
                <w:szCs w:val="24"/>
              </w:rPr>
              <w:t>Đầu tư tại Việt Nam</w:t>
            </w:r>
          </w:p>
        </w:tc>
        <w:tc>
          <w:tcPr>
            <w:tcW w:w="1241" w:type="dxa"/>
          </w:tcPr>
          <w:p w14:paraId="2AD948D8" w14:textId="77777777" w:rsidR="009B4BA5" w:rsidRPr="001C22A3" w:rsidRDefault="009B4BA5" w:rsidP="009B4BA5">
            <w:pPr>
              <w:spacing w:before="120" w:after="120" w:line="360" w:lineRule="exact"/>
              <w:jc w:val="center"/>
              <w:rPr>
                <w:rFonts w:eastAsia="Calibri"/>
                <w:sz w:val="24"/>
                <w:szCs w:val="24"/>
                <w:lang w:val="de-DE"/>
              </w:rPr>
            </w:pPr>
            <w:r w:rsidRPr="001C22A3">
              <w:rPr>
                <w:rFonts w:eastAsia="Calibri"/>
                <w:sz w:val="24"/>
                <w:szCs w:val="24"/>
                <w:lang w:val="de-DE"/>
              </w:rPr>
              <w:t>x</w:t>
            </w:r>
          </w:p>
        </w:tc>
        <w:tc>
          <w:tcPr>
            <w:tcW w:w="1645" w:type="dxa"/>
          </w:tcPr>
          <w:p w14:paraId="6CCC6314" w14:textId="77777777" w:rsidR="009B4BA5" w:rsidRPr="001C22A3" w:rsidRDefault="009B4BA5" w:rsidP="009B4BA5">
            <w:pPr>
              <w:spacing w:before="120" w:after="120" w:line="360" w:lineRule="exact"/>
              <w:jc w:val="both"/>
              <w:rPr>
                <w:rFonts w:eastAsia="Calibri"/>
                <w:sz w:val="24"/>
                <w:szCs w:val="24"/>
                <w:lang w:val="de-DE"/>
              </w:rPr>
            </w:pPr>
          </w:p>
        </w:tc>
        <w:tc>
          <w:tcPr>
            <w:tcW w:w="2015" w:type="dxa"/>
          </w:tcPr>
          <w:p w14:paraId="7801E395" w14:textId="77777777" w:rsidR="009B4BA5" w:rsidRPr="001C22A3" w:rsidRDefault="009B4BA5" w:rsidP="009B4BA5">
            <w:pPr>
              <w:spacing w:before="120" w:after="120" w:line="360" w:lineRule="exact"/>
              <w:jc w:val="both"/>
              <w:rPr>
                <w:rFonts w:eastAsia="Calibri"/>
                <w:sz w:val="24"/>
                <w:szCs w:val="24"/>
                <w:lang w:val="de-DE"/>
              </w:rPr>
            </w:pPr>
          </w:p>
        </w:tc>
      </w:tr>
      <w:tr w:rsidR="009B4BA5" w:rsidRPr="001C22A3" w14:paraId="2CB6F858" w14:textId="77777777" w:rsidTr="001C22A3">
        <w:tc>
          <w:tcPr>
            <w:tcW w:w="915" w:type="dxa"/>
          </w:tcPr>
          <w:p w14:paraId="30904C98" w14:textId="77777777" w:rsidR="009B4BA5" w:rsidRPr="001C22A3" w:rsidRDefault="009B4BA5" w:rsidP="009B4BA5">
            <w:pPr>
              <w:numPr>
                <w:ilvl w:val="0"/>
                <w:numId w:val="2"/>
              </w:numPr>
              <w:spacing w:before="120" w:after="120" w:line="360" w:lineRule="exact"/>
              <w:ind w:left="567"/>
              <w:jc w:val="both"/>
              <w:rPr>
                <w:rFonts w:eastAsia="Calibri"/>
                <w:sz w:val="24"/>
                <w:szCs w:val="24"/>
                <w:lang w:val="de-DE"/>
              </w:rPr>
            </w:pPr>
          </w:p>
        </w:tc>
        <w:tc>
          <w:tcPr>
            <w:tcW w:w="4183" w:type="dxa"/>
            <w:vAlign w:val="center"/>
          </w:tcPr>
          <w:p w14:paraId="2AD722AF" w14:textId="77777777" w:rsidR="009B4BA5" w:rsidRPr="001C22A3" w:rsidRDefault="009B4BA5" w:rsidP="009B4BA5">
            <w:pPr>
              <w:ind w:left="73" w:right="102"/>
              <w:jc w:val="both"/>
              <w:rPr>
                <w:bCs/>
                <w:sz w:val="24"/>
                <w:szCs w:val="24"/>
                <w:lang w:val="sv-SE"/>
              </w:rPr>
            </w:pPr>
            <w:r w:rsidRPr="001C22A3">
              <w:rPr>
                <w:sz w:val="24"/>
                <w:szCs w:val="24"/>
                <w:lang w:val="sv-SE"/>
              </w:rPr>
              <w:t>Thủ tục điều chỉnh dự án đầu tư đã được cấp Giấy chứng nhận đăng ký đầu tư và không thuộc diện chấp thuận điều chỉnh chủ trương đầu tư (Ban Quản lý thực hiện)</w:t>
            </w:r>
          </w:p>
        </w:tc>
        <w:tc>
          <w:tcPr>
            <w:tcW w:w="1702" w:type="dxa"/>
            <w:vAlign w:val="center"/>
          </w:tcPr>
          <w:p w14:paraId="1A5A67A5" w14:textId="77777777" w:rsidR="009B4BA5" w:rsidRPr="001C22A3" w:rsidRDefault="009B4BA5" w:rsidP="009B4BA5">
            <w:pPr>
              <w:jc w:val="center"/>
              <w:rPr>
                <w:iCs/>
                <w:sz w:val="24"/>
                <w:szCs w:val="24"/>
                <w:lang w:val="de-DE"/>
              </w:rPr>
            </w:pPr>
            <w:r w:rsidRPr="001C22A3">
              <w:rPr>
                <w:sz w:val="24"/>
                <w:szCs w:val="24"/>
              </w:rPr>
              <w:t>1.009760</w:t>
            </w:r>
          </w:p>
        </w:tc>
        <w:tc>
          <w:tcPr>
            <w:tcW w:w="2860" w:type="dxa"/>
            <w:vAlign w:val="center"/>
          </w:tcPr>
          <w:p w14:paraId="1946F724" w14:textId="77777777" w:rsidR="009B4BA5" w:rsidRPr="001C22A3" w:rsidRDefault="009B4BA5" w:rsidP="009B4BA5">
            <w:pPr>
              <w:jc w:val="center"/>
              <w:rPr>
                <w:bCs/>
                <w:sz w:val="24"/>
                <w:szCs w:val="24"/>
              </w:rPr>
            </w:pPr>
            <w:r w:rsidRPr="001C22A3">
              <w:rPr>
                <w:bCs/>
                <w:sz w:val="24"/>
                <w:szCs w:val="24"/>
              </w:rPr>
              <w:t>Đầu tư tại Việt Nam</w:t>
            </w:r>
          </w:p>
        </w:tc>
        <w:tc>
          <w:tcPr>
            <w:tcW w:w="1241" w:type="dxa"/>
          </w:tcPr>
          <w:p w14:paraId="5283DD85" w14:textId="77777777" w:rsidR="009B4BA5" w:rsidRPr="001C22A3" w:rsidRDefault="009B4BA5" w:rsidP="009B4BA5">
            <w:pPr>
              <w:spacing w:before="120" w:after="120" w:line="360" w:lineRule="exact"/>
              <w:jc w:val="center"/>
              <w:rPr>
                <w:rFonts w:eastAsia="Calibri"/>
                <w:sz w:val="24"/>
                <w:szCs w:val="24"/>
                <w:lang w:val="de-DE"/>
              </w:rPr>
            </w:pPr>
            <w:r w:rsidRPr="001C22A3">
              <w:rPr>
                <w:rFonts w:eastAsia="Calibri"/>
                <w:sz w:val="24"/>
                <w:szCs w:val="24"/>
                <w:lang w:val="de-DE"/>
              </w:rPr>
              <w:t>x</w:t>
            </w:r>
          </w:p>
        </w:tc>
        <w:tc>
          <w:tcPr>
            <w:tcW w:w="1645" w:type="dxa"/>
          </w:tcPr>
          <w:p w14:paraId="27D60F0F" w14:textId="77777777" w:rsidR="009B4BA5" w:rsidRPr="001C22A3" w:rsidRDefault="009B4BA5" w:rsidP="009B4BA5">
            <w:pPr>
              <w:spacing w:before="120" w:after="120" w:line="360" w:lineRule="exact"/>
              <w:jc w:val="both"/>
              <w:rPr>
                <w:rFonts w:eastAsia="Calibri"/>
                <w:sz w:val="24"/>
                <w:szCs w:val="24"/>
                <w:lang w:val="de-DE"/>
              </w:rPr>
            </w:pPr>
          </w:p>
        </w:tc>
        <w:tc>
          <w:tcPr>
            <w:tcW w:w="2015" w:type="dxa"/>
          </w:tcPr>
          <w:p w14:paraId="5A0C80D3" w14:textId="77777777" w:rsidR="009B4BA5" w:rsidRPr="001C22A3" w:rsidRDefault="009B4BA5" w:rsidP="009B4BA5">
            <w:pPr>
              <w:spacing w:before="120" w:after="120" w:line="360" w:lineRule="exact"/>
              <w:jc w:val="both"/>
              <w:rPr>
                <w:rFonts w:eastAsia="Calibri"/>
                <w:sz w:val="24"/>
                <w:szCs w:val="24"/>
                <w:lang w:val="de-DE"/>
              </w:rPr>
            </w:pPr>
          </w:p>
        </w:tc>
      </w:tr>
      <w:tr w:rsidR="009B4BA5" w:rsidRPr="001C22A3" w14:paraId="04B2DD2D" w14:textId="77777777" w:rsidTr="001C22A3">
        <w:tc>
          <w:tcPr>
            <w:tcW w:w="915" w:type="dxa"/>
          </w:tcPr>
          <w:p w14:paraId="02620BB5" w14:textId="77777777" w:rsidR="009B4BA5" w:rsidRPr="001C22A3" w:rsidRDefault="009B4BA5" w:rsidP="009B4BA5">
            <w:pPr>
              <w:numPr>
                <w:ilvl w:val="0"/>
                <w:numId w:val="2"/>
              </w:numPr>
              <w:spacing w:before="120" w:after="120" w:line="360" w:lineRule="exact"/>
              <w:ind w:left="567"/>
              <w:jc w:val="both"/>
              <w:rPr>
                <w:rFonts w:eastAsia="Calibri"/>
                <w:sz w:val="24"/>
                <w:szCs w:val="24"/>
                <w:lang w:val="de-DE"/>
              </w:rPr>
            </w:pPr>
          </w:p>
        </w:tc>
        <w:tc>
          <w:tcPr>
            <w:tcW w:w="4183" w:type="dxa"/>
            <w:vAlign w:val="center"/>
          </w:tcPr>
          <w:p w14:paraId="0667DA07" w14:textId="77777777" w:rsidR="009B4BA5" w:rsidRPr="001C22A3" w:rsidRDefault="009B4BA5" w:rsidP="009B4BA5">
            <w:pPr>
              <w:jc w:val="both"/>
              <w:rPr>
                <w:iCs/>
                <w:sz w:val="24"/>
                <w:szCs w:val="24"/>
                <w:lang w:val="de-DE"/>
              </w:rPr>
            </w:pPr>
            <w:r w:rsidRPr="001C22A3">
              <w:rPr>
                <w:iCs/>
                <w:sz w:val="24"/>
                <w:szCs w:val="24"/>
                <w:lang w:val="de-DE"/>
              </w:rPr>
              <w:t>Thủ tục ngừng hoạt động của dự án đầu tư thuộc thẩm quyền chấp thuận chủ trương của UBND cấp tỉnh hoặc Ban Quản lý</w:t>
            </w:r>
          </w:p>
        </w:tc>
        <w:tc>
          <w:tcPr>
            <w:tcW w:w="1702" w:type="dxa"/>
            <w:vAlign w:val="center"/>
          </w:tcPr>
          <w:p w14:paraId="5923E5A8" w14:textId="77777777" w:rsidR="009B4BA5" w:rsidRPr="001C22A3" w:rsidRDefault="009B4BA5" w:rsidP="009B4BA5">
            <w:pPr>
              <w:jc w:val="center"/>
              <w:rPr>
                <w:iCs/>
                <w:sz w:val="24"/>
                <w:szCs w:val="24"/>
                <w:lang w:val="de-DE"/>
              </w:rPr>
            </w:pPr>
            <w:r w:rsidRPr="001C22A3">
              <w:rPr>
                <w:sz w:val="24"/>
                <w:szCs w:val="24"/>
              </w:rPr>
              <w:t>1.009771</w:t>
            </w:r>
          </w:p>
        </w:tc>
        <w:tc>
          <w:tcPr>
            <w:tcW w:w="2860" w:type="dxa"/>
            <w:vAlign w:val="center"/>
          </w:tcPr>
          <w:p w14:paraId="512E47D2" w14:textId="77777777" w:rsidR="009B4BA5" w:rsidRPr="001C22A3" w:rsidRDefault="009B4BA5" w:rsidP="009B4BA5">
            <w:pPr>
              <w:jc w:val="center"/>
              <w:rPr>
                <w:bCs/>
                <w:sz w:val="24"/>
                <w:szCs w:val="24"/>
              </w:rPr>
            </w:pPr>
            <w:r w:rsidRPr="001C22A3">
              <w:rPr>
                <w:bCs/>
                <w:sz w:val="24"/>
                <w:szCs w:val="24"/>
              </w:rPr>
              <w:t>Đầu tư tại Việt Nam</w:t>
            </w:r>
          </w:p>
        </w:tc>
        <w:tc>
          <w:tcPr>
            <w:tcW w:w="1241" w:type="dxa"/>
          </w:tcPr>
          <w:p w14:paraId="7786201F" w14:textId="77777777" w:rsidR="009B4BA5" w:rsidRPr="001C22A3" w:rsidRDefault="009B4BA5" w:rsidP="009B4BA5">
            <w:pPr>
              <w:spacing w:before="120" w:after="120" w:line="360" w:lineRule="exact"/>
              <w:jc w:val="center"/>
              <w:rPr>
                <w:rFonts w:eastAsia="Calibri"/>
                <w:sz w:val="24"/>
                <w:szCs w:val="24"/>
                <w:lang w:val="de-DE"/>
              </w:rPr>
            </w:pPr>
            <w:r w:rsidRPr="001C22A3">
              <w:rPr>
                <w:rFonts w:eastAsia="Calibri"/>
                <w:sz w:val="24"/>
                <w:szCs w:val="24"/>
                <w:lang w:val="de-DE"/>
              </w:rPr>
              <w:t>x</w:t>
            </w:r>
          </w:p>
        </w:tc>
        <w:tc>
          <w:tcPr>
            <w:tcW w:w="1645" w:type="dxa"/>
          </w:tcPr>
          <w:p w14:paraId="6F8B477C" w14:textId="77777777" w:rsidR="009B4BA5" w:rsidRPr="001C22A3" w:rsidRDefault="009B4BA5" w:rsidP="009B4BA5">
            <w:pPr>
              <w:spacing w:before="120" w:after="120" w:line="360" w:lineRule="exact"/>
              <w:jc w:val="both"/>
              <w:rPr>
                <w:rFonts w:eastAsia="Calibri"/>
                <w:sz w:val="24"/>
                <w:szCs w:val="24"/>
                <w:lang w:val="de-DE"/>
              </w:rPr>
            </w:pPr>
          </w:p>
        </w:tc>
        <w:tc>
          <w:tcPr>
            <w:tcW w:w="2015" w:type="dxa"/>
          </w:tcPr>
          <w:p w14:paraId="4D42548F" w14:textId="77777777" w:rsidR="009B4BA5" w:rsidRPr="001C22A3" w:rsidRDefault="009B4BA5" w:rsidP="009B4BA5">
            <w:pPr>
              <w:spacing w:before="120" w:after="120" w:line="360" w:lineRule="exact"/>
              <w:jc w:val="both"/>
              <w:rPr>
                <w:rFonts w:eastAsia="Calibri"/>
                <w:sz w:val="24"/>
                <w:szCs w:val="24"/>
                <w:lang w:val="de-DE"/>
              </w:rPr>
            </w:pPr>
          </w:p>
        </w:tc>
      </w:tr>
      <w:tr w:rsidR="009B4BA5" w:rsidRPr="001C22A3" w14:paraId="21DC7F6F" w14:textId="77777777" w:rsidTr="001C22A3">
        <w:tc>
          <w:tcPr>
            <w:tcW w:w="915" w:type="dxa"/>
          </w:tcPr>
          <w:p w14:paraId="5CDBB80D" w14:textId="77777777" w:rsidR="009B4BA5" w:rsidRPr="001C22A3" w:rsidRDefault="009B4BA5" w:rsidP="009B4BA5">
            <w:pPr>
              <w:numPr>
                <w:ilvl w:val="0"/>
                <w:numId w:val="2"/>
              </w:numPr>
              <w:spacing w:before="120" w:after="120" w:line="360" w:lineRule="exact"/>
              <w:ind w:left="567"/>
              <w:jc w:val="both"/>
              <w:rPr>
                <w:rFonts w:eastAsia="Calibri"/>
                <w:sz w:val="24"/>
                <w:szCs w:val="24"/>
                <w:lang w:val="de-DE"/>
              </w:rPr>
            </w:pPr>
          </w:p>
        </w:tc>
        <w:tc>
          <w:tcPr>
            <w:tcW w:w="4183" w:type="dxa"/>
            <w:vAlign w:val="center"/>
          </w:tcPr>
          <w:p w14:paraId="7430A71B" w14:textId="77777777" w:rsidR="009B4BA5" w:rsidRPr="001C22A3" w:rsidRDefault="009B4BA5" w:rsidP="009B4BA5">
            <w:pPr>
              <w:jc w:val="both"/>
              <w:rPr>
                <w:sz w:val="24"/>
                <w:szCs w:val="24"/>
                <w:lang w:val="de-DE"/>
              </w:rPr>
            </w:pPr>
            <w:r w:rsidRPr="001C22A3">
              <w:rPr>
                <w:iCs/>
                <w:sz w:val="24"/>
                <w:szCs w:val="24"/>
                <w:lang w:val="de-DE"/>
              </w:rPr>
              <w:t xml:space="preserve">Thủ tục </w:t>
            </w:r>
            <w:r w:rsidRPr="001C22A3">
              <w:rPr>
                <w:iCs/>
                <w:sz w:val="24"/>
                <w:szCs w:val="24"/>
                <w:lang w:val="vi-VN"/>
              </w:rPr>
              <w:t>c</w:t>
            </w:r>
            <w:r w:rsidRPr="001C22A3">
              <w:rPr>
                <w:iCs/>
                <w:sz w:val="24"/>
                <w:szCs w:val="24"/>
                <w:lang w:val="sv-SE"/>
              </w:rPr>
              <w:t>hấm dứt hoạt động của dự án đầu tư</w:t>
            </w:r>
          </w:p>
        </w:tc>
        <w:tc>
          <w:tcPr>
            <w:tcW w:w="1702" w:type="dxa"/>
            <w:vAlign w:val="center"/>
          </w:tcPr>
          <w:p w14:paraId="0987B597" w14:textId="77777777" w:rsidR="009B4BA5" w:rsidRPr="001C22A3" w:rsidRDefault="009B4BA5" w:rsidP="009B4BA5">
            <w:pPr>
              <w:tabs>
                <w:tab w:val="left" w:pos="709"/>
              </w:tabs>
              <w:jc w:val="center"/>
              <w:rPr>
                <w:iCs/>
                <w:sz w:val="24"/>
                <w:szCs w:val="24"/>
              </w:rPr>
            </w:pPr>
            <w:r w:rsidRPr="001C22A3">
              <w:rPr>
                <w:sz w:val="24"/>
                <w:szCs w:val="24"/>
              </w:rPr>
              <w:t>1.009772</w:t>
            </w:r>
          </w:p>
        </w:tc>
        <w:tc>
          <w:tcPr>
            <w:tcW w:w="2860" w:type="dxa"/>
            <w:vAlign w:val="center"/>
          </w:tcPr>
          <w:p w14:paraId="364E2238" w14:textId="77777777" w:rsidR="009B4BA5" w:rsidRPr="001C22A3" w:rsidRDefault="009B4BA5" w:rsidP="009B4BA5">
            <w:pPr>
              <w:jc w:val="center"/>
              <w:rPr>
                <w:bCs/>
                <w:sz w:val="24"/>
                <w:szCs w:val="24"/>
              </w:rPr>
            </w:pPr>
            <w:r w:rsidRPr="001C22A3">
              <w:rPr>
                <w:bCs/>
                <w:sz w:val="24"/>
                <w:szCs w:val="24"/>
              </w:rPr>
              <w:t>Đầu tư tại Việt Nam</w:t>
            </w:r>
          </w:p>
        </w:tc>
        <w:tc>
          <w:tcPr>
            <w:tcW w:w="1241" w:type="dxa"/>
          </w:tcPr>
          <w:p w14:paraId="6E83994E" w14:textId="77777777" w:rsidR="009B4BA5" w:rsidRPr="001C22A3" w:rsidRDefault="009B4BA5" w:rsidP="009B4BA5">
            <w:pPr>
              <w:spacing w:before="120" w:after="120" w:line="360" w:lineRule="exact"/>
              <w:jc w:val="center"/>
              <w:rPr>
                <w:rFonts w:eastAsia="Calibri"/>
                <w:sz w:val="24"/>
                <w:szCs w:val="24"/>
              </w:rPr>
            </w:pPr>
            <w:r w:rsidRPr="001C22A3">
              <w:rPr>
                <w:rFonts w:eastAsia="Calibri"/>
                <w:sz w:val="24"/>
                <w:szCs w:val="24"/>
              </w:rPr>
              <w:t>x</w:t>
            </w:r>
          </w:p>
        </w:tc>
        <w:tc>
          <w:tcPr>
            <w:tcW w:w="1645" w:type="dxa"/>
          </w:tcPr>
          <w:p w14:paraId="499D32CE" w14:textId="77777777" w:rsidR="009B4BA5" w:rsidRPr="001C22A3" w:rsidRDefault="009B4BA5" w:rsidP="009B4BA5">
            <w:pPr>
              <w:spacing w:before="120" w:after="120" w:line="360" w:lineRule="exact"/>
              <w:jc w:val="both"/>
              <w:rPr>
                <w:rFonts w:eastAsia="Calibri"/>
                <w:sz w:val="24"/>
                <w:szCs w:val="24"/>
              </w:rPr>
            </w:pPr>
          </w:p>
        </w:tc>
        <w:tc>
          <w:tcPr>
            <w:tcW w:w="2015" w:type="dxa"/>
          </w:tcPr>
          <w:p w14:paraId="2EB2F136" w14:textId="77777777" w:rsidR="009B4BA5" w:rsidRPr="001C22A3" w:rsidRDefault="009B4BA5" w:rsidP="009B4BA5">
            <w:pPr>
              <w:spacing w:before="120" w:after="120" w:line="360" w:lineRule="exact"/>
              <w:jc w:val="both"/>
              <w:rPr>
                <w:rFonts w:eastAsia="Calibri"/>
                <w:sz w:val="24"/>
                <w:szCs w:val="24"/>
              </w:rPr>
            </w:pPr>
          </w:p>
        </w:tc>
      </w:tr>
      <w:tr w:rsidR="009B4BA5" w:rsidRPr="001C22A3" w14:paraId="2971669F" w14:textId="77777777" w:rsidTr="001C22A3">
        <w:tc>
          <w:tcPr>
            <w:tcW w:w="915" w:type="dxa"/>
          </w:tcPr>
          <w:p w14:paraId="23117E7F" w14:textId="77777777" w:rsidR="009B4BA5" w:rsidRPr="001C22A3" w:rsidRDefault="009B4BA5" w:rsidP="009B4BA5">
            <w:pPr>
              <w:numPr>
                <w:ilvl w:val="0"/>
                <w:numId w:val="2"/>
              </w:numPr>
              <w:spacing w:before="120" w:after="120" w:line="360" w:lineRule="exact"/>
              <w:ind w:left="567"/>
              <w:jc w:val="both"/>
              <w:rPr>
                <w:rFonts w:eastAsia="Calibri"/>
                <w:sz w:val="24"/>
                <w:szCs w:val="24"/>
              </w:rPr>
            </w:pPr>
          </w:p>
        </w:tc>
        <w:tc>
          <w:tcPr>
            <w:tcW w:w="4183" w:type="dxa"/>
            <w:vAlign w:val="center"/>
          </w:tcPr>
          <w:p w14:paraId="712E9850" w14:textId="77777777" w:rsidR="009B4BA5" w:rsidRPr="001C22A3" w:rsidRDefault="009B4BA5" w:rsidP="009B4BA5">
            <w:pPr>
              <w:tabs>
                <w:tab w:val="left" w:pos="709"/>
              </w:tabs>
              <w:jc w:val="both"/>
              <w:rPr>
                <w:iCs/>
                <w:sz w:val="24"/>
                <w:szCs w:val="24"/>
                <w:lang w:val="de-DE"/>
              </w:rPr>
            </w:pPr>
            <w:r w:rsidRPr="001C22A3">
              <w:rPr>
                <w:iCs/>
                <w:sz w:val="24"/>
                <w:szCs w:val="24"/>
                <w:lang w:val="de-DE"/>
              </w:rPr>
              <w:t>Thủ tục cấp lại hoặc hiệu đính Giấy chứng nhận đăng ký đầu tư</w:t>
            </w:r>
          </w:p>
        </w:tc>
        <w:tc>
          <w:tcPr>
            <w:tcW w:w="1702" w:type="dxa"/>
            <w:vAlign w:val="center"/>
          </w:tcPr>
          <w:p w14:paraId="23962E86" w14:textId="77777777" w:rsidR="009B4BA5" w:rsidRPr="001C22A3" w:rsidRDefault="009B4BA5" w:rsidP="009B4BA5">
            <w:pPr>
              <w:tabs>
                <w:tab w:val="left" w:pos="709"/>
              </w:tabs>
              <w:jc w:val="center"/>
              <w:rPr>
                <w:iCs/>
                <w:sz w:val="24"/>
                <w:szCs w:val="24"/>
              </w:rPr>
            </w:pPr>
            <w:r w:rsidRPr="001C22A3">
              <w:rPr>
                <w:sz w:val="24"/>
                <w:szCs w:val="24"/>
              </w:rPr>
              <w:t>1.009774</w:t>
            </w:r>
          </w:p>
        </w:tc>
        <w:tc>
          <w:tcPr>
            <w:tcW w:w="2860" w:type="dxa"/>
            <w:vAlign w:val="center"/>
          </w:tcPr>
          <w:p w14:paraId="53838F17" w14:textId="77777777" w:rsidR="009B4BA5" w:rsidRPr="001C22A3" w:rsidRDefault="009B4BA5" w:rsidP="009B4BA5">
            <w:pPr>
              <w:jc w:val="center"/>
              <w:rPr>
                <w:bCs/>
                <w:sz w:val="24"/>
                <w:szCs w:val="24"/>
              </w:rPr>
            </w:pPr>
            <w:r w:rsidRPr="001C22A3">
              <w:rPr>
                <w:bCs/>
                <w:sz w:val="24"/>
                <w:szCs w:val="24"/>
              </w:rPr>
              <w:t>Đầu tư tại Việt Nam</w:t>
            </w:r>
          </w:p>
        </w:tc>
        <w:tc>
          <w:tcPr>
            <w:tcW w:w="1241" w:type="dxa"/>
          </w:tcPr>
          <w:p w14:paraId="791538F9" w14:textId="77777777" w:rsidR="009B4BA5" w:rsidRPr="001C22A3" w:rsidRDefault="009B4BA5" w:rsidP="009B4BA5">
            <w:pPr>
              <w:spacing w:before="120" w:after="120" w:line="360" w:lineRule="exact"/>
              <w:jc w:val="center"/>
              <w:rPr>
                <w:rFonts w:eastAsia="Calibri"/>
                <w:sz w:val="24"/>
                <w:szCs w:val="24"/>
              </w:rPr>
            </w:pPr>
            <w:r w:rsidRPr="001C22A3">
              <w:rPr>
                <w:rFonts w:eastAsia="Calibri"/>
                <w:sz w:val="24"/>
                <w:szCs w:val="24"/>
              </w:rPr>
              <w:t>x</w:t>
            </w:r>
          </w:p>
        </w:tc>
        <w:tc>
          <w:tcPr>
            <w:tcW w:w="1645" w:type="dxa"/>
          </w:tcPr>
          <w:p w14:paraId="3E379D92" w14:textId="77777777" w:rsidR="009B4BA5" w:rsidRPr="001C22A3" w:rsidRDefault="009B4BA5" w:rsidP="009B4BA5">
            <w:pPr>
              <w:spacing w:before="120" w:after="120" w:line="360" w:lineRule="exact"/>
              <w:jc w:val="both"/>
              <w:rPr>
                <w:rFonts w:eastAsia="Calibri"/>
                <w:sz w:val="24"/>
                <w:szCs w:val="24"/>
              </w:rPr>
            </w:pPr>
          </w:p>
        </w:tc>
        <w:tc>
          <w:tcPr>
            <w:tcW w:w="2015" w:type="dxa"/>
          </w:tcPr>
          <w:p w14:paraId="76A4C047" w14:textId="77777777" w:rsidR="009B4BA5" w:rsidRPr="001C22A3" w:rsidRDefault="009B4BA5" w:rsidP="009B4BA5">
            <w:pPr>
              <w:spacing w:before="120" w:after="120" w:line="360" w:lineRule="exact"/>
              <w:jc w:val="both"/>
              <w:rPr>
                <w:rFonts w:eastAsia="Calibri"/>
                <w:sz w:val="24"/>
                <w:szCs w:val="24"/>
              </w:rPr>
            </w:pPr>
          </w:p>
        </w:tc>
      </w:tr>
      <w:tr w:rsidR="009B4BA5" w:rsidRPr="001C22A3" w14:paraId="39468445" w14:textId="77777777" w:rsidTr="001C22A3">
        <w:tc>
          <w:tcPr>
            <w:tcW w:w="915" w:type="dxa"/>
          </w:tcPr>
          <w:p w14:paraId="7E7A9AEE" w14:textId="77777777" w:rsidR="009B4BA5" w:rsidRPr="001C22A3" w:rsidRDefault="009B4BA5" w:rsidP="009B4BA5">
            <w:pPr>
              <w:numPr>
                <w:ilvl w:val="0"/>
                <w:numId w:val="2"/>
              </w:numPr>
              <w:spacing w:before="120" w:after="120" w:line="360" w:lineRule="exact"/>
              <w:ind w:left="567"/>
              <w:jc w:val="both"/>
              <w:rPr>
                <w:rFonts w:eastAsia="Calibri"/>
                <w:sz w:val="24"/>
                <w:szCs w:val="24"/>
              </w:rPr>
            </w:pPr>
          </w:p>
        </w:tc>
        <w:tc>
          <w:tcPr>
            <w:tcW w:w="4183" w:type="dxa"/>
            <w:vAlign w:val="center"/>
          </w:tcPr>
          <w:p w14:paraId="40968D01" w14:textId="77777777" w:rsidR="009B4BA5" w:rsidRPr="001C22A3" w:rsidRDefault="009B4BA5" w:rsidP="009B4BA5">
            <w:pPr>
              <w:tabs>
                <w:tab w:val="left" w:pos="709"/>
              </w:tabs>
              <w:jc w:val="both"/>
              <w:rPr>
                <w:iCs/>
                <w:sz w:val="24"/>
                <w:szCs w:val="24"/>
              </w:rPr>
            </w:pPr>
            <w:r w:rsidRPr="001C22A3">
              <w:rPr>
                <w:iCs/>
                <w:sz w:val="24"/>
                <w:szCs w:val="24"/>
              </w:rPr>
              <w:t>Thủ tục đổi Giấy chứng nhận đăng ký đầu tư</w:t>
            </w:r>
          </w:p>
        </w:tc>
        <w:tc>
          <w:tcPr>
            <w:tcW w:w="1702" w:type="dxa"/>
            <w:vAlign w:val="center"/>
          </w:tcPr>
          <w:p w14:paraId="6AAC329B" w14:textId="77777777" w:rsidR="009B4BA5" w:rsidRPr="001C22A3" w:rsidRDefault="009B4BA5" w:rsidP="009B4BA5">
            <w:pPr>
              <w:tabs>
                <w:tab w:val="left" w:pos="709"/>
              </w:tabs>
              <w:jc w:val="center"/>
              <w:rPr>
                <w:iCs/>
                <w:sz w:val="24"/>
                <w:szCs w:val="24"/>
              </w:rPr>
            </w:pPr>
            <w:r w:rsidRPr="001C22A3">
              <w:rPr>
                <w:sz w:val="24"/>
                <w:szCs w:val="24"/>
              </w:rPr>
              <w:t>1.009773</w:t>
            </w:r>
          </w:p>
        </w:tc>
        <w:tc>
          <w:tcPr>
            <w:tcW w:w="2860" w:type="dxa"/>
            <w:vAlign w:val="center"/>
          </w:tcPr>
          <w:p w14:paraId="6B1E5CF1" w14:textId="77777777" w:rsidR="009B4BA5" w:rsidRPr="001C22A3" w:rsidRDefault="009B4BA5" w:rsidP="009B4BA5">
            <w:pPr>
              <w:jc w:val="center"/>
              <w:rPr>
                <w:bCs/>
                <w:sz w:val="24"/>
                <w:szCs w:val="24"/>
              </w:rPr>
            </w:pPr>
            <w:r w:rsidRPr="001C22A3">
              <w:rPr>
                <w:bCs/>
                <w:sz w:val="24"/>
                <w:szCs w:val="24"/>
              </w:rPr>
              <w:t>Đầu tư tại Việt Nam</w:t>
            </w:r>
          </w:p>
        </w:tc>
        <w:tc>
          <w:tcPr>
            <w:tcW w:w="1241" w:type="dxa"/>
          </w:tcPr>
          <w:p w14:paraId="06E07454" w14:textId="77777777" w:rsidR="009B4BA5" w:rsidRPr="001C22A3" w:rsidRDefault="009B4BA5" w:rsidP="009B4BA5">
            <w:pPr>
              <w:spacing w:before="120" w:after="120" w:line="360" w:lineRule="exact"/>
              <w:jc w:val="center"/>
              <w:rPr>
                <w:rFonts w:eastAsia="Calibri"/>
                <w:sz w:val="24"/>
                <w:szCs w:val="24"/>
              </w:rPr>
            </w:pPr>
            <w:r w:rsidRPr="001C22A3">
              <w:rPr>
                <w:rFonts w:eastAsia="Calibri"/>
                <w:sz w:val="24"/>
                <w:szCs w:val="24"/>
              </w:rPr>
              <w:t>x</w:t>
            </w:r>
          </w:p>
        </w:tc>
        <w:tc>
          <w:tcPr>
            <w:tcW w:w="1645" w:type="dxa"/>
          </w:tcPr>
          <w:p w14:paraId="6BDB67D8" w14:textId="77777777" w:rsidR="009B4BA5" w:rsidRPr="001C22A3" w:rsidRDefault="009B4BA5" w:rsidP="009B4BA5">
            <w:pPr>
              <w:spacing w:before="120" w:after="120" w:line="360" w:lineRule="exact"/>
              <w:jc w:val="both"/>
              <w:rPr>
                <w:rFonts w:eastAsia="Calibri"/>
                <w:sz w:val="24"/>
                <w:szCs w:val="24"/>
              </w:rPr>
            </w:pPr>
          </w:p>
        </w:tc>
        <w:tc>
          <w:tcPr>
            <w:tcW w:w="2015" w:type="dxa"/>
          </w:tcPr>
          <w:p w14:paraId="5B2BC58C" w14:textId="77777777" w:rsidR="009B4BA5" w:rsidRPr="001C22A3" w:rsidRDefault="009B4BA5" w:rsidP="009B4BA5">
            <w:pPr>
              <w:spacing w:before="120" w:after="120" w:line="360" w:lineRule="exact"/>
              <w:jc w:val="both"/>
              <w:rPr>
                <w:rFonts w:eastAsia="Calibri"/>
                <w:sz w:val="24"/>
                <w:szCs w:val="24"/>
              </w:rPr>
            </w:pPr>
          </w:p>
        </w:tc>
      </w:tr>
      <w:tr w:rsidR="009B4BA5" w:rsidRPr="001C22A3" w14:paraId="38B54FB7" w14:textId="77777777" w:rsidTr="001C22A3">
        <w:tc>
          <w:tcPr>
            <w:tcW w:w="915" w:type="dxa"/>
          </w:tcPr>
          <w:p w14:paraId="614D20EF" w14:textId="77777777" w:rsidR="009B4BA5" w:rsidRPr="001C22A3" w:rsidRDefault="009B4BA5" w:rsidP="009B4BA5">
            <w:pPr>
              <w:numPr>
                <w:ilvl w:val="0"/>
                <w:numId w:val="2"/>
              </w:numPr>
              <w:spacing w:before="120" w:after="120" w:line="360" w:lineRule="exact"/>
              <w:ind w:left="567"/>
              <w:jc w:val="both"/>
              <w:rPr>
                <w:rFonts w:eastAsia="Calibri"/>
                <w:sz w:val="24"/>
                <w:szCs w:val="24"/>
              </w:rPr>
            </w:pPr>
          </w:p>
        </w:tc>
        <w:tc>
          <w:tcPr>
            <w:tcW w:w="4183" w:type="dxa"/>
            <w:vAlign w:val="center"/>
          </w:tcPr>
          <w:p w14:paraId="66F550CE" w14:textId="77777777" w:rsidR="009B4BA5" w:rsidRPr="001C22A3" w:rsidRDefault="009B4BA5" w:rsidP="009B4BA5">
            <w:pPr>
              <w:tabs>
                <w:tab w:val="left" w:pos="5225"/>
              </w:tabs>
              <w:jc w:val="both"/>
              <w:rPr>
                <w:sz w:val="24"/>
                <w:szCs w:val="24"/>
                <w:lang w:val="de-DE"/>
              </w:rPr>
            </w:pPr>
            <w:r w:rsidRPr="001C22A3">
              <w:rPr>
                <w:sz w:val="24"/>
                <w:szCs w:val="24"/>
                <w:lang w:val="de-DE"/>
              </w:rPr>
              <w:t>Thủ tục thành lập văn phòng điều hành của nhà đầu tư nước ngoài trong hợp đồng BCC</w:t>
            </w:r>
          </w:p>
        </w:tc>
        <w:tc>
          <w:tcPr>
            <w:tcW w:w="1702" w:type="dxa"/>
            <w:vAlign w:val="center"/>
          </w:tcPr>
          <w:p w14:paraId="6C29E2D3" w14:textId="77777777" w:rsidR="009B4BA5" w:rsidRPr="001C22A3" w:rsidRDefault="009B4BA5" w:rsidP="009B4BA5">
            <w:pPr>
              <w:jc w:val="center"/>
              <w:rPr>
                <w:iCs/>
                <w:sz w:val="24"/>
                <w:szCs w:val="24"/>
                <w:lang w:val="de-DE"/>
              </w:rPr>
            </w:pPr>
            <w:r w:rsidRPr="001C22A3">
              <w:rPr>
                <w:sz w:val="24"/>
                <w:szCs w:val="24"/>
              </w:rPr>
              <w:t>1.009776</w:t>
            </w:r>
          </w:p>
        </w:tc>
        <w:tc>
          <w:tcPr>
            <w:tcW w:w="2860" w:type="dxa"/>
            <w:vAlign w:val="center"/>
          </w:tcPr>
          <w:p w14:paraId="1DEF9963" w14:textId="77777777" w:rsidR="009B4BA5" w:rsidRPr="001C22A3" w:rsidRDefault="009B4BA5" w:rsidP="009B4BA5">
            <w:pPr>
              <w:jc w:val="center"/>
              <w:rPr>
                <w:bCs/>
                <w:sz w:val="24"/>
                <w:szCs w:val="24"/>
              </w:rPr>
            </w:pPr>
            <w:r w:rsidRPr="001C22A3">
              <w:rPr>
                <w:bCs/>
                <w:sz w:val="24"/>
                <w:szCs w:val="24"/>
              </w:rPr>
              <w:t>Đầu tư tại Việt Nam</w:t>
            </w:r>
          </w:p>
        </w:tc>
        <w:tc>
          <w:tcPr>
            <w:tcW w:w="1241" w:type="dxa"/>
          </w:tcPr>
          <w:p w14:paraId="0BDC31A0" w14:textId="77777777" w:rsidR="009B4BA5" w:rsidRPr="001C22A3" w:rsidRDefault="009B4BA5" w:rsidP="009B4BA5">
            <w:pPr>
              <w:spacing w:before="120" w:after="120" w:line="360" w:lineRule="exact"/>
              <w:jc w:val="center"/>
              <w:rPr>
                <w:rFonts w:eastAsia="Calibri"/>
                <w:sz w:val="24"/>
                <w:szCs w:val="24"/>
                <w:lang w:val="de-DE"/>
              </w:rPr>
            </w:pPr>
            <w:r w:rsidRPr="001C22A3">
              <w:rPr>
                <w:rFonts w:eastAsia="Calibri"/>
                <w:sz w:val="24"/>
                <w:szCs w:val="24"/>
                <w:lang w:val="de-DE"/>
              </w:rPr>
              <w:t>x</w:t>
            </w:r>
          </w:p>
        </w:tc>
        <w:tc>
          <w:tcPr>
            <w:tcW w:w="1645" w:type="dxa"/>
          </w:tcPr>
          <w:p w14:paraId="1968859E" w14:textId="77777777" w:rsidR="009B4BA5" w:rsidRPr="001C22A3" w:rsidRDefault="009B4BA5" w:rsidP="009B4BA5">
            <w:pPr>
              <w:spacing w:before="120" w:after="120" w:line="360" w:lineRule="exact"/>
              <w:jc w:val="both"/>
              <w:rPr>
                <w:rFonts w:eastAsia="Calibri"/>
                <w:sz w:val="24"/>
                <w:szCs w:val="24"/>
                <w:lang w:val="de-DE"/>
              </w:rPr>
            </w:pPr>
          </w:p>
        </w:tc>
        <w:tc>
          <w:tcPr>
            <w:tcW w:w="2015" w:type="dxa"/>
          </w:tcPr>
          <w:p w14:paraId="59DAC49B" w14:textId="77777777" w:rsidR="009B4BA5" w:rsidRPr="001C22A3" w:rsidRDefault="009B4BA5" w:rsidP="009B4BA5">
            <w:pPr>
              <w:spacing w:before="120" w:after="120" w:line="360" w:lineRule="exact"/>
              <w:jc w:val="both"/>
              <w:rPr>
                <w:rFonts w:eastAsia="Calibri"/>
                <w:sz w:val="24"/>
                <w:szCs w:val="24"/>
                <w:lang w:val="de-DE"/>
              </w:rPr>
            </w:pPr>
          </w:p>
        </w:tc>
      </w:tr>
      <w:tr w:rsidR="009B4BA5" w:rsidRPr="001C22A3" w14:paraId="58C9DDE7" w14:textId="77777777" w:rsidTr="001C22A3">
        <w:tc>
          <w:tcPr>
            <w:tcW w:w="915" w:type="dxa"/>
          </w:tcPr>
          <w:p w14:paraId="1EBFFE6B" w14:textId="77777777" w:rsidR="009B4BA5" w:rsidRPr="001C22A3" w:rsidRDefault="009B4BA5" w:rsidP="009B4BA5">
            <w:pPr>
              <w:numPr>
                <w:ilvl w:val="0"/>
                <w:numId w:val="2"/>
              </w:numPr>
              <w:spacing w:before="120" w:after="120" w:line="360" w:lineRule="exact"/>
              <w:ind w:left="567"/>
              <w:jc w:val="both"/>
              <w:rPr>
                <w:rFonts w:eastAsia="Calibri"/>
                <w:sz w:val="24"/>
                <w:szCs w:val="24"/>
                <w:lang w:val="de-DE"/>
              </w:rPr>
            </w:pPr>
          </w:p>
        </w:tc>
        <w:tc>
          <w:tcPr>
            <w:tcW w:w="4183" w:type="dxa"/>
            <w:vAlign w:val="center"/>
          </w:tcPr>
          <w:p w14:paraId="469007AB" w14:textId="77777777" w:rsidR="009B4BA5" w:rsidRPr="001C22A3" w:rsidRDefault="009B4BA5" w:rsidP="009B4BA5">
            <w:pPr>
              <w:tabs>
                <w:tab w:val="left" w:pos="5225"/>
              </w:tabs>
              <w:jc w:val="both"/>
              <w:rPr>
                <w:sz w:val="24"/>
                <w:szCs w:val="24"/>
                <w:lang w:val="de-DE"/>
              </w:rPr>
            </w:pPr>
            <w:r w:rsidRPr="001C22A3">
              <w:rPr>
                <w:sz w:val="24"/>
                <w:szCs w:val="24"/>
                <w:lang w:val="de-DE"/>
              </w:rPr>
              <w:t>Thủ tục chấm dứt hoạt động văn phòng điều hành của nhà đầu tư nước ngoài trong hợp đồng BCC</w:t>
            </w:r>
          </w:p>
        </w:tc>
        <w:tc>
          <w:tcPr>
            <w:tcW w:w="1702" w:type="dxa"/>
            <w:vAlign w:val="center"/>
          </w:tcPr>
          <w:p w14:paraId="1E82F8D3" w14:textId="77777777" w:rsidR="009B4BA5" w:rsidRPr="001C22A3" w:rsidRDefault="009B4BA5" w:rsidP="009B4BA5">
            <w:pPr>
              <w:tabs>
                <w:tab w:val="left" w:pos="5225"/>
              </w:tabs>
              <w:jc w:val="center"/>
              <w:rPr>
                <w:iCs/>
                <w:sz w:val="24"/>
                <w:szCs w:val="24"/>
                <w:lang w:val="de-DE"/>
              </w:rPr>
            </w:pPr>
            <w:r w:rsidRPr="001C22A3">
              <w:rPr>
                <w:sz w:val="24"/>
                <w:szCs w:val="24"/>
              </w:rPr>
              <w:t>1.009777</w:t>
            </w:r>
          </w:p>
        </w:tc>
        <w:tc>
          <w:tcPr>
            <w:tcW w:w="2860" w:type="dxa"/>
            <w:vAlign w:val="center"/>
          </w:tcPr>
          <w:p w14:paraId="219077FE" w14:textId="77777777" w:rsidR="009B4BA5" w:rsidRPr="001C22A3" w:rsidRDefault="009B4BA5" w:rsidP="009B4BA5">
            <w:pPr>
              <w:jc w:val="center"/>
              <w:rPr>
                <w:bCs/>
                <w:sz w:val="24"/>
                <w:szCs w:val="24"/>
              </w:rPr>
            </w:pPr>
            <w:r w:rsidRPr="001C22A3">
              <w:rPr>
                <w:bCs/>
                <w:sz w:val="24"/>
                <w:szCs w:val="24"/>
              </w:rPr>
              <w:t>Đầu tư tại Việt Nam</w:t>
            </w:r>
          </w:p>
        </w:tc>
        <w:tc>
          <w:tcPr>
            <w:tcW w:w="1241" w:type="dxa"/>
          </w:tcPr>
          <w:p w14:paraId="3E580DBC" w14:textId="77777777" w:rsidR="009B4BA5" w:rsidRPr="001C22A3" w:rsidRDefault="009B4BA5" w:rsidP="009B4BA5">
            <w:pPr>
              <w:spacing w:before="120" w:after="120" w:line="360" w:lineRule="exact"/>
              <w:jc w:val="center"/>
              <w:rPr>
                <w:rFonts w:eastAsia="Calibri"/>
                <w:sz w:val="24"/>
                <w:szCs w:val="24"/>
                <w:lang w:val="de-DE"/>
              </w:rPr>
            </w:pPr>
            <w:r w:rsidRPr="001C22A3">
              <w:rPr>
                <w:rFonts w:eastAsia="Calibri"/>
                <w:sz w:val="24"/>
                <w:szCs w:val="24"/>
                <w:lang w:val="de-DE"/>
              </w:rPr>
              <w:t>x</w:t>
            </w:r>
          </w:p>
        </w:tc>
        <w:tc>
          <w:tcPr>
            <w:tcW w:w="1645" w:type="dxa"/>
          </w:tcPr>
          <w:p w14:paraId="5313C38E" w14:textId="77777777" w:rsidR="009B4BA5" w:rsidRPr="001C22A3" w:rsidRDefault="009B4BA5" w:rsidP="009B4BA5">
            <w:pPr>
              <w:spacing w:before="120" w:after="120" w:line="360" w:lineRule="exact"/>
              <w:jc w:val="both"/>
              <w:rPr>
                <w:rFonts w:eastAsia="Calibri"/>
                <w:sz w:val="24"/>
                <w:szCs w:val="24"/>
                <w:lang w:val="de-DE"/>
              </w:rPr>
            </w:pPr>
          </w:p>
        </w:tc>
        <w:tc>
          <w:tcPr>
            <w:tcW w:w="2015" w:type="dxa"/>
          </w:tcPr>
          <w:p w14:paraId="38420BC2" w14:textId="77777777" w:rsidR="009B4BA5" w:rsidRPr="001C22A3" w:rsidRDefault="009B4BA5" w:rsidP="009B4BA5">
            <w:pPr>
              <w:spacing w:before="120" w:after="120" w:line="360" w:lineRule="exact"/>
              <w:jc w:val="both"/>
              <w:rPr>
                <w:rFonts w:eastAsia="Calibri"/>
                <w:sz w:val="24"/>
                <w:szCs w:val="24"/>
                <w:lang w:val="de-DE"/>
              </w:rPr>
            </w:pPr>
          </w:p>
        </w:tc>
      </w:tr>
      <w:tr w:rsidR="009B4BA5" w:rsidRPr="001C22A3" w14:paraId="38C86C8E" w14:textId="77777777" w:rsidTr="001C22A3">
        <w:tc>
          <w:tcPr>
            <w:tcW w:w="915" w:type="dxa"/>
          </w:tcPr>
          <w:p w14:paraId="5352CB3F" w14:textId="77777777" w:rsidR="009B4BA5" w:rsidRPr="001C22A3" w:rsidRDefault="009B4BA5" w:rsidP="009B4BA5">
            <w:pPr>
              <w:numPr>
                <w:ilvl w:val="0"/>
                <w:numId w:val="2"/>
              </w:numPr>
              <w:spacing w:before="120" w:after="120" w:line="360" w:lineRule="exact"/>
              <w:ind w:left="567"/>
              <w:jc w:val="both"/>
              <w:rPr>
                <w:rFonts w:eastAsia="Calibri"/>
                <w:sz w:val="24"/>
                <w:szCs w:val="24"/>
                <w:lang w:val="de-DE"/>
              </w:rPr>
            </w:pPr>
          </w:p>
        </w:tc>
        <w:tc>
          <w:tcPr>
            <w:tcW w:w="4183" w:type="dxa"/>
            <w:vAlign w:val="center"/>
          </w:tcPr>
          <w:p w14:paraId="2A4C120B" w14:textId="77777777" w:rsidR="009B4BA5" w:rsidRPr="001C22A3" w:rsidRDefault="009B4BA5" w:rsidP="009B4BA5">
            <w:pPr>
              <w:tabs>
                <w:tab w:val="left" w:pos="5225"/>
              </w:tabs>
              <w:jc w:val="both"/>
              <w:rPr>
                <w:iCs/>
                <w:sz w:val="24"/>
                <w:szCs w:val="24"/>
                <w:lang w:val="de-DE"/>
              </w:rPr>
            </w:pPr>
            <w:r w:rsidRPr="001C22A3">
              <w:rPr>
                <w:iCs/>
                <w:sz w:val="24"/>
                <w:szCs w:val="24"/>
                <w:lang w:val="de-DE"/>
              </w:rPr>
              <w:t>Thủ tục cấp Giấy chứng nhận đăng ký đầu tư theo thủ tục đầu tư đặc biệt</w:t>
            </w:r>
          </w:p>
        </w:tc>
        <w:tc>
          <w:tcPr>
            <w:tcW w:w="1702" w:type="dxa"/>
            <w:vAlign w:val="center"/>
          </w:tcPr>
          <w:p w14:paraId="435D07E3" w14:textId="77777777" w:rsidR="009B4BA5" w:rsidRPr="001C22A3" w:rsidRDefault="009B4BA5" w:rsidP="009B4BA5">
            <w:pPr>
              <w:tabs>
                <w:tab w:val="left" w:pos="5225"/>
              </w:tabs>
              <w:jc w:val="center"/>
              <w:rPr>
                <w:rFonts w:eastAsia="Calibri"/>
                <w:iCs/>
                <w:sz w:val="24"/>
                <w:szCs w:val="24"/>
                <w:shd w:val="clear" w:color="auto" w:fill="FFFFFF"/>
              </w:rPr>
            </w:pPr>
            <w:r w:rsidRPr="001C22A3">
              <w:rPr>
                <w:sz w:val="24"/>
                <w:szCs w:val="24"/>
              </w:rPr>
              <w:t>2.002725</w:t>
            </w:r>
          </w:p>
        </w:tc>
        <w:tc>
          <w:tcPr>
            <w:tcW w:w="2860" w:type="dxa"/>
            <w:vAlign w:val="center"/>
          </w:tcPr>
          <w:p w14:paraId="63046BC6" w14:textId="77777777" w:rsidR="009B4BA5" w:rsidRPr="001C22A3" w:rsidRDefault="009B4BA5" w:rsidP="009B4BA5">
            <w:pPr>
              <w:jc w:val="center"/>
              <w:rPr>
                <w:bCs/>
                <w:sz w:val="24"/>
                <w:szCs w:val="24"/>
              </w:rPr>
            </w:pPr>
            <w:r w:rsidRPr="001C22A3">
              <w:rPr>
                <w:bCs/>
                <w:sz w:val="24"/>
                <w:szCs w:val="24"/>
              </w:rPr>
              <w:t>Đầu tư tại Việt Nam</w:t>
            </w:r>
          </w:p>
        </w:tc>
        <w:tc>
          <w:tcPr>
            <w:tcW w:w="1241" w:type="dxa"/>
          </w:tcPr>
          <w:p w14:paraId="3BA782BE" w14:textId="77777777" w:rsidR="009B4BA5" w:rsidRPr="001C22A3" w:rsidRDefault="009B4BA5" w:rsidP="009B4BA5">
            <w:pPr>
              <w:spacing w:before="120" w:after="120" w:line="360" w:lineRule="exact"/>
              <w:jc w:val="center"/>
              <w:rPr>
                <w:rFonts w:eastAsia="Calibri"/>
                <w:sz w:val="24"/>
                <w:szCs w:val="24"/>
              </w:rPr>
            </w:pPr>
            <w:r w:rsidRPr="001C22A3">
              <w:rPr>
                <w:rFonts w:eastAsia="Calibri"/>
                <w:sz w:val="24"/>
                <w:szCs w:val="24"/>
              </w:rPr>
              <w:t>x</w:t>
            </w:r>
          </w:p>
        </w:tc>
        <w:tc>
          <w:tcPr>
            <w:tcW w:w="1645" w:type="dxa"/>
          </w:tcPr>
          <w:p w14:paraId="244F7783" w14:textId="77777777" w:rsidR="009B4BA5" w:rsidRPr="001C22A3" w:rsidRDefault="009B4BA5" w:rsidP="009B4BA5">
            <w:pPr>
              <w:spacing w:before="120" w:after="120" w:line="360" w:lineRule="exact"/>
              <w:jc w:val="both"/>
              <w:rPr>
                <w:rFonts w:eastAsia="Calibri"/>
                <w:sz w:val="24"/>
                <w:szCs w:val="24"/>
              </w:rPr>
            </w:pPr>
          </w:p>
        </w:tc>
        <w:tc>
          <w:tcPr>
            <w:tcW w:w="2015" w:type="dxa"/>
          </w:tcPr>
          <w:p w14:paraId="17A890D1" w14:textId="77777777" w:rsidR="009B4BA5" w:rsidRPr="001C22A3" w:rsidRDefault="009B4BA5" w:rsidP="009B4BA5">
            <w:pPr>
              <w:spacing w:before="120" w:after="120" w:line="360" w:lineRule="exact"/>
              <w:jc w:val="both"/>
              <w:rPr>
                <w:rFonts w:eastAsia="Calibri"/>
                <w:sz w:val="24"/>
                <w:szCs w:val="24"/>
              </w:rPr>
            </w:pPr>
          </w:p>
        </w:tc>
      </w:tr>
      <w:tr w:rsidR="009B4BA5" w:rsidRPr="001C22A3" w14:paraId="4ED4530A" w14:textId="77777777" w:rsidTr="001C22A3">
        <w:tc>
          <w:tcPr>
            <w:tcW w:w="915" w:type="dxa"/>
          </w:tcPr>
          <w:p w14:paraId="7BF95A20" w14:textId="77777777" w:rsidR="009B4BA5" w:rsidRPr="001C22A3" w:rsidRDefault="009B4BA5" w:rsidP="009B4BA5">
            <w:pPr>
              <w:numPr>
                <w:ilvl w:val="0"/>
                <w:numId w:val="2"/>
              </w:numPr>
              <w:spacing w:before="120" w:after="120" w:line="360" w:lineRule="exact"/>
              <w:ind w:left="567"/>
              <w:jc w:val="both"/>
              <w:rPr>
                <w:rFonts w:eastAsia="Calibri"/>
                <w:sz w:val="24"/>
                <w:szCs w:val="24"/>
              </w:rPr>
            </w:pPr>
          </w:p>
        </w:tc>
        <w:tc>
          <w:tcPr>
            <w:tcW w:w="4183" w:type="dxa"/>
            <w:vAlign w:val="center"/>
          </w:tcPr>
          <w:p w14:paraId="280375F6" w14:textId="77777777" w:rsidR="009B4BA5" w:rsidRPr="001C22A3" w:rsidRDefault="009B4BA5" w:rsidP="009B4BA5">
            <w:pPr>
              <w:tabs>
                <w:tab w:val="left" w:pos="5225"/>
              </w:tabs>
              <w:jc w:val="both"/>
              <w:rPr>
                <w:sz w:val="24"/>
                <w:szCs w:val="24"/>
                <w:lang w:val="vi-VN"/>
              </w:rPr>
            </w:pPr>
            <w:r w:rsidRPr="001C22A3">
              <w:rPr>
                <w:sz w:val="24"/>
                <w:szCs w:val="24"/>
                <w:lang w:val="vi-VN"/>
              </w:rPr>
              <w:t>Thủ tục điều chỉnh mục tiêu hoạt động của dự án thực hiện theo thủ tục đầu tư đặc biệt</w:t>
            </w:r>
          </w:p>
        </w:tc>
        <w:tc>
          <w:tcPr>
            <w:tcW w:w="1702" w:type="dxa"/>
            <w:vAlign w:val="center"/>
          </w:tcPr>
          <w:p w14:paraId="27D12D6B" w14:textId="77777777" w:rsidR="009B4BA5" w:rsidRPr="001C22A3" w:rsidRDefault="009B4BA5" w:rsidP="009B4BA5">
            <w:pPr>
              <w:widowControl w:val="0"/>
              <w:jc w:val="center"/>
              <w:rPr>
                <w:iCs/>
                <w:sz w:val="24"/>
                <w:szCs w:val="24"/>
                <w:lang w:val="vi-VN"/>
              </w:rPr>
            </w:pPr>
            <w:r w:rsidRPr="001C22A3">
              <w:rPr>
                <w:sz w:val="24"/>
                <w:szCs w:val="24"/>
              </w:rPr>
              <w:t>2.002726</w:t>
            </w:r>
          </w:p>
        </w:tc>
        <w:tc>
          <w:tcPr>
            <w:tcW w:w="2860" w:type="dxa"/>
            <w:vAlign w:val="center"/>
          </w:tcPr>
          <w:p w14:paraId="1EC82D8D" w14:textId="77777777" w:rsidR="009B4BA5" w:rsidRPr="001C22A3" w:rsidRDefault="009B4BA5" w:rsidP="009B4BA5">
            <w:pPr>
              <w:jc w:val="center"/>
              <w:rPr>
                <w:bCs/>
                <w:sz w:val="24"/>
                <w:szCs w:val="24"/>
              </w:rPr>
            </w:pPr>
            <w:r w:rsidRPr="001C22A3">
              <w:rPr>
                <w:bCs/>
                <w:sz w:val="24"/>
                <w:szCs w:val="24"/>
              </w:rPr>
              <w:t>Đầu tư tại Việt Nam</w:t>
            </w:r>
          </w:p>
        </w:tc>
        <w:tc>
          <w:tcPr>
            <w:tcW w:w="1241" w:type="dxa"/>
          </w:tcPr>
          <w:p w14:paraId="00883F3C" w14:textId="77777777" w:rsidR="009B4BA5" w:rsidRPr="001C22A3" w:rsidRDefault="009B4BA5" w:rsidP="009B4BA5">
            <w:pPr>
              <w:spacing w:before="120" w:after="120" w:line="360" w:lineRule="exact"/>
              <w:jc w:val="center"/>
              <w:rPr>
                <w:rFonts w:eastAsia="Calibri"/>
                <w:sz w:val="24"/>
                <w:szCs w:val="24"/>
              </w:rPr>
            </w:pPr>
            <w:r w:rsidRPr="001C22A3">
              <w:rPr>
                <w:rFonts w:eastAsia="Calibri"/>
                <w:sz w:val="24"/>
                <w:szCs w:val="24"/>
              </w:rPr>
              <w:t>x</w:t>
            </w:r>
          </w:p>
        </w:tc>
        <w:tc>
          <w:tcPr>
            <w:tcW w:w="1645" w:type="dxa"/>
          </w:tcPr>
          <w:p w14:paraId="05EE9F71" w14:textId="77777777" w:rsidR="009B4BA5" w:rsidRPr="001C22A3" w:rsidRDefault="009B4BA5" w:rsidP="009B4BA5">
            <w:pPr>
              <w:spacing w:before="120" w:after="120" w:line="360" w:lineRule="exact"/>
              <w:jc w:val="both"/>
              <w:rPr>
                <w:rFonts w:eastAsia="Calibri"/>
                <w:sz w:val="24"/>
                <w:szCs w:val="24"/>
                <w:lang w:val="vi-VN"/>
              </w:rPr>
            </w:pPr>
          </w:p>
        </w:tc>
        <w:tc>
          <w:tcPr>
            <w:tcW w:w="2015" w:type="dxa"/>
          </w:tcPr>
          <w:p w14:paraId="2E675FD6" w14:textId="77777777" w:rsidR="009B4BA5" w:rsidRPr="001C22A3" w:rsidRDefault="009B4BA5" w:rsidP="009B4BA5">
            <w:pPr>
              <w:spacing w:before="120" w:after="120" w:line="360" w:lineRule="exact"/>
              <w:jc w:val="both"/>
              <w:rPr>
                <w:rFonts w:eastAsia="Calibri"/>
                <w:sz w:val="24"/>
                <w:szCs w:val="24"/>
                <w:lang w:val="vi-VN"/>
              </w:rPr>
            </w:pPr>
          </w:p>
        </w:tc>
      </w:tr>
      <w:tr w:rsidR="009B4BA5" w:rsidRPr="001C22A3" w14:paraId="7EED6720" w14:textId="77777777" w:rsidTr="001C22A3">
        <w:tc>
          <w:tcPr>
            <w:tcW w:w="915" w:type="dxa"/>
          </w:tcPr>
          <w:p w14:paraId="42828D52" w14:textId="77777777" w:rsidR="009B4BA5" w:rsidRPr="001C22A3" w:rsidRDefault="009B4BA5" w:rsidP="009B4BA5">
            <w:pPr>
              <w:numPr>
                <w:ilvl w:val="0"/>
                <w:numId w:val="2"/>
              </w:numPr>
              <w:spacing w:before="120" w:after="120" w:line="360" w:lineRule="exact"/>
              <w:ind w:left="567"/>
              <w:jc w:val="both"/>
              <w:rPr>
                <w:rFonts w:eastAsia="Calibri"/>
                <w:sz w:val="24"/>
                <w:szCs w:val="24"/>
                <w:lang w:val="vi-VN"/>
              </w:rPr>
            </w:pPr>
          </w:p>
        </w:tc>
        <w:tc>
          <w:tcPr>
            <w:tcW w:w="4183" w:type="dxa"/>
            <w:vAlign w:val="center"/>
          </w:tcPr>
          <w:p w14:paraId="25746D7D" w14:textId="77777777" w:rsidR="009B4BA5" w:rsidRPr="001C22A3" w:rsidRDefault="009B4BA5" w:rsidP="009B4BA5">
            <w:pPr>
              <w:tabs>
                <w:tab w:val="left" w:pos="5225"/>
              </w:tabs>
              <w:jc w:val="both"/>
              <w:rPr>
                <w:sz w:val="24"/>
                <w:szCs w:val="24"/>
                <w:lang w:val="de-DE"/>
              </w:rPr>
            </w:pPr>
            <w:r w:rsidRPr="001C22A3">
              <w:rPr>
                <w:sz w:val="24"/>
                <w:szCs w:val="24"/>
                <w:lang w:val="de-DE"/>
              </w:rPr>
              <w:t>Thủ tục cấp đổi Giấy chứng nhận đăng ký đầu tư theo thủ tục đầu tư đặc biệt</w:t>
            </w:r>
          </w:p>
        </w:tc>
        <w:tc>
          <w:tcPr>
            <w:tcW w:w="1702" w:type="dxa"/>
            <w:vAlign w:val="center"/>
          </w:tcPr>
          <w:p w14:paraId="7E99210F" w14:textId="77777777" w:rsidR="009B4BA5" w:rsidRPr="001C22A3" w:rsidRDefault="009B4BA5" w:rsidP="009B4BA5">
            <w:pPr>
              <w:jc w:val="center"/>
              <w:rPr>
                <w:iCs/>
                <w:sz w:val="24"/>
                <w:szCs w:val="24"/>
                <w:lang w:val="de-DE"/>
              </w:rPr>
            </w:pPr>
            <w:r w:rsidRPr="001C22A3">
              <w:rPr>
                <w:iCs/>
                <w:sz w:val="24"/>
                <w:szCs w:val="24"/>
                <w:lang w:val="de-DE"/>
              </w:rPr>
              <w:t>2.002727</w:t>
            </w:r>
          </w:p>
        </w:tc>
        <w:tc>
          <w:tcPr>
            <w:tcW w:w="2860" w:type="dxa"/>
            <w:vAlign w:val="center"/>
          </w:tcPr>
          <w:p w14:paraId="539635AF" w14:textId="77777777" w:rsidR="009B4BA5" w:rsidRPr="001C22A3" w:rsidRDefault="009B4BA5" w:rsidP="009B4BA5">
            <w:pPr>
              <w:jc w:val="center"/>
              <w:rPr>
                <w:bCs/>
                <w:sz w:val="24"/>
                <w:szCs w:val="24"/>
              </w:rPr>
            </w:pPr>
            <w:r w:rsidRPr="001C22A3">
              <w:rPr>
                <w:bCs/>
                <w:sz w:val="24"/>
                <w:szCs w:val="24"/>
              </w:rPr>
              <w:t>Đầu tư tại Việt Nam</w:t>
            </w:r>
          </w:p>
        </w:tc>
        <w:tc>
          <w:tcPr>
            <w:tcW w:w="1241" w:type="dxa"/>
          </w:tcPr>
          <w:p w14:paraId="44965084" w14:textId="77777777" w:rsidR="009B4BA5" w:rsidRPr="001C22A3" w:rsidRDefault="009B4BA5" w:rsidP="009B4BA5">
            <w:pPr>
              <w:spacing w:before="120" w:after="120" w:line="360" w:lineRule="exact"/>
              <w:jc w:val="center"/>
              <w:rPr>
                <w:rFonts w:eastAsia="Calibri"/>
                <w:sz w:val="24"/>
                <w:szCs w:val="24"/>
                <w:lang w:val="de-DE"/>
              </w:rPr>
            </w:pPr>
            <w:r w:rsidRPr="001C22A3">
              <w:rPr>
                <w:rFonts w:eastAsia="Calibri"/>
                <w:sz w:val="24"/>
                <w:szCs w:val="24"/>
                <w:lang w:val="de-DE"/>
              </w:rPr>
              <w:t>x</w:t>
            </w:r>
          </w:p>
        </w:tc>
        <w:tc>
          <w:tcPr>
            <w:tcW w:w="1645" w:type="dxa"/>
          </w:tcPr>
          <w:p w14:paraId="559BBEE7" w14:textId="77777777" w:rsidR="009B4BA5" w:rsidRPr="001C22A3" w:rsidRDefault="009B4BA5" w:rsidP="009B4BA5">
            <w:pPr>
              <w:spacing w:before="120" w:after="120" w:line="360" w:lineRule="exact"/>
              <w:jc w:val="both"/>
              <w:rPr>
                <w:rFonts w:eastAsia="Calibri"/>
                <w:sz w:val="24"/>
                <w:szCs w:val="24"/>
                <w:lang w:val="de-DE"/>
              </w:rPr>
            </w:pPr>
          </w:p>
        </w:tc>
        <w:tc>
          <w:tcPr>
            <w:tcW w:w="2015" w:type="dxa"/>
          </w:tcPr>
          <w:p w14:paraId="52F793C9" w14:textId="77777777" w:rsidR="009B4BA5" w:rsidRPr="001C22A3" w:rsidRDefault="009B4BA5" w:rsidP="009B4BA5">
            <w:pPr>
              <w:spacing w:before="120" w:after="120" w:line="360" w:lineRule="exact"/>
              <w:jc w:val="both"/>
              <w:rPr>
                <w:rFonts w:eastAsia="Calibri"/>
                <w:sz w:val="24"/>
                <w:szCs w:val="24"/>
                <w:lang w:val="de-DE"/>
              </w:rPr>
            </w:pPr>
          </w:p>
        </w:tc>
      </w:tr>
      <w:tr w:rsidR="009B4BA5" w:rsidRPr="001C22A3" w14:paraId="005FC33D" w14:textId="77777777" w:rsidTr="001C22A3">
        <w:tc>
          <w:tcPr>
            <w:tcW w:w="915" w:type="dxa"/>
          </w:tcPr>
          <w:p w14:paraId="749A200C" w14:textId="77777777" w:rsidR="009B4BA5" w:rsidRPr="001C22A3" w:rsidRDefault="009B4BA5" w:rsidP="009B4BA5">
            <w:pPr>
              <w:numPr>
                <w:ilvl w:val="0"/>
                <w:numId w:val="2"/>
              </w:numPr>
              <w:spacing w:before="120" w:after="120" w:line="360" w:lineRule="exact"/>
              <w:ind w:left="567"/>
              <w:jc w:val="both"/>
              <w:rPr>
                <w:rFonts w:eastAsia="Calibri"/>
                <w:sz w:val="24"/>
                <w:szCs w:val="24"/>
                <w:lang w:val="de-DE"/>
              </w:rPr>
            </w:pPr>
          </w:p>
        </w:tc>
        <w:tc>
          <w:tcPr>
            <w:tcW w:w="4183" w:type="dxa"/>
            <w:vAlign w:val="center"/>
          </w:tcPr>
          <w:p w14:paraId="57CC5C14" w14:textId="77777777" w:rsidR="009B4BA5" w:rsidRPr="001C22A3" w:rsidRDefault="009B4BA5" w:rsidP="009B4BA5">
            <w:pPr>
              <w:jc w:val="both"/>
              <w:rPr>
                <w:iCs/>
                <w:sz w:val="24"/>
                <w:szCs w:val="24"/>
                <w:lang w:val="nl-NL"/>
              </w:rPr>
            </w:pPr>
            <w:r w:rsidRPr="001C22A3">
              <w:rPr>
                <w:iCs/>
                <w:sz w:val="24"/>
                <w:szCs w:val="24"/>
                <w:lang w:val="nl-NL"/>
              </w:rPr>
              <w:t>Thủ tục cấp/cấp lại Giấy chứng nhận khu công nghiệp sinh thái</w:t>
            </w:r>
          </w:p>
        </w:tc>
        <w:tc>
          <w:tcPr>
            <w:tcW w:w="1702" w:type="dxa"/>
            <w:vAlign w:val="center"/>
          </w:tcPr>
          <w:p w14:paraId="55F53E83" w14:textId="77777777" w:rsidR="009B4BA5" w:rsidRPr="001C22A3" w:rsidRDefault="009B4BA5" w:rsidP="009B4BA5">
            <w:pPr>
              <w:jc w:val="center"/>
              <w:rPr>
                <w:iCs/>
                <w:sz w:val="24"/>
                <w:szCs w:val="24"/>
                <w:lang w:val="nl-NL"/>
              </w:rPr>
            </w:pPr>
            <w:r w:rsidRPr="001C22A3">
              <w:rPr>
                <w:sz w:val="24"/>
                <w:szCs w:val="24"/>
              </w:rPr>
              <w:t>2.002728</w:t>
            </w:r>
          </w:p>
        </w:tc>
        <w:tc>
          <w:tcPr>
            <w:tcW w:w="2860" w:type="dxa"/>
            <w:vAlign w:val="center"/>
          </w:tcPr>
          <w:p w14:paraId="3C6BF9DD" w14:textId="77777777" w:rsidR="009B4BA5" w:rsidRPr="001C22A3" w:rsidRDefault="009B4BA5" w:rsidP="009B4BA5">
            <w:pPr>
              <w:jc w:val="center"/>
              <w:rPr>
                <w:bCs/>
                <w:sz w:val="24"/>
                <w:szCs w:val="24"/>
                <w:lang w:val="nl-NL"/>
              </w:rPr>
            </w:pPr>
            <w:r w:rsidRPr="001C22A3">
              <w:rPr>
                <w:rFonts w:eastAsia="Arial"/>
                <w:sz w:val="24"/>
                <w:szCs w:val="24"/>
              </w:rPr>
              <w:t>Quản lý KCN, KKT</w:t>
            </w:r>
          </w:p>
        </w:tc>
        <w:tc>
          <w:tcPr>
            <w:tcW w:w="1241" w:type="dxa"/>
          </w:tcPr>
          <w:p w14:paraId="155D57B3" w14:textId="77777777" w:rsidR="009B4BA5" w:rsidRPr="001C22A3" w:rsidRDefault="009B4BA5" w:rsidP="009B4BA5">
            <w:pPr>
              <w:spacing w:before="120" w:after="120" w:line="360" w:lineRule="exact"/>
              <w:jc w:val="center"/>
              <w:rPr>
                <w:rFonts w:eastAsia="Calibri"/>
                <w:sz w:val="24"/>
                <w:szCs w:val="24"/>
                <w:lang w:val="nl-NL"/>
              </w:rPr>
            </w:pPr>
            <w:r w:rsidRPr="001C22A3">
              <w:rPr>
                <w:rFonts w:eastAsia="Calibri"/>
                <w:sz w:val="24"/>
                <w:szCs w:val="24"/>
                <w:lang w:val="nl-NL"/>
              </w:rPr>
              <w:t>x</w:t>
            </w:r>
          </w:p>
        </w:tc>
        <w:tc>
          <w:tcPr>
            <w:tcW w:w="1645" w:type="dxa"/>
          </w:tcPr>
          <w:p w14:paraId="38FA1B49" w14:textId="77777777" w:rsidR="009B4BA5" w:rsidRPr="001C22A3" w:rsidRDefault="009B4BA5" w:rsidP="009B4BA5">
            <w:pPr>
              <w:spacing w:before="120" w:after="120" w:line="360" w:lineRule="exact"/>
              <w:jc w:val="both"/>
              <w:rPr>
                <w:rFonts w:eastAsia="Calibri"/>
                <w:sz w:val="24"/>
                <w:szCs w:val="24"/>
                <w:lang w:val="nl-NL"/>
              </w:rPr>
            </w:pPr>
          </w:p>
        </w:tc>
        <w:tc>
          <w:tcPr>
            <w:tcW w:w="2015" w:type="dxa"/>
          </w:tcPr>
          <w:p w14:paraId="6DF58E44" w14:textId="77777777" w:rsidR="009B4BA5" w:rsidRPr="001C22A3" w:rsidRDefault="009B4BA5" w:rsidP="009B4BA5">
            <w:pPr>
              <w:spacing w:before="120" w:after="120" w:line="360" w:lineRule="exact"/>
              <w:jc w:val="both"/>
              <w:rPr>
                <w:rFonts w:eastAsia="Calibri"/>
                <w:sz w:val="24"/>
                <w:szCs w:val="24"/>
                <w:lang w:val="nl-NL"/>
              </w:rPr>
            </w:pPr>
          </w:p>
        </w:tc>
      </w:tr>
      <w:tr w:rsidR="009B4BA5" w:rsidRPr="001C22A3" w14:paraId="71CC281E" w14:textId="77777777" w:rsidTr="001C22A3">
        <w:tc>
          <w:tcPr>
            <w:tcW w:w="915" w:type="dxa"/>
          </w:tcPr>
          <w:p w14:paraId="74D1AA70" w14:textId="77777777" w:rsidR="009B4BA5" w:rsidRPr="001C22A3" w:rsidRDefault="009B4BA5" w:rsidP="009B4BA5">
            <w:pPr>
              <w:numPr>
                <w:ilvl w:val="0"/>
                <w:numId w:val="2"/>
              </w:numPr>
              <w:spacing w:before="120" w:after="120" w:line="360" w:lineRule="exact"/>
              <w:ind w:left="567"/>
              <w:jc w:val="both"/>
              <w:rPr>
                <w:rFonts w:eastAsia="Calibri"/>
                <w:sz w:val="24"/>
                <w:szCs w:val="24"/>
                <w:lang w:val="nl-NL"/>
              </w:rPr>
            </w:pPr>
          </w:p>
        </w:tc>
        <w:tc>
          <w:tcPr>
            <w:tcW w:w="4183" w:type="dxa"/>
            <w:vAlign w:val="center"/>
          </w:tcPr>
          <w:p w14:paraId="2A847C22" w14:textId="77777777" w:rsidR="009B4BA5" w:rsidRPr="001C22A3" w:rsidRDefault="009B4BA5" w:rsidP="009B4BA5">
            <w:pPr>
              <w:jc w:val="both"/>
              <w:rPr>
                <w:iCs/>
                <w:sz w:val="24"/>
                <w:szCs w:val="24"/>
                <w:lang w:val="de-DE"/>
              </w:rPr>
            </w:pPr>
            <w:r w:rsidRPr="001C22A3">
              <w:rPr>
                <w:iCs/>
                <w:sz w:val="24"/>
                <w:szCs w:val="24"/>
                <w:lang w:val="de-DE"/>
              </w:rPr>
              <w:t>Thủ tục chấm dứt hiệu lực và thu hồi Giấy chứng nhận khu công nghiệp sinh thái</w:t>
            </w:r>
          </w:p>
        </w:tc>
        <w:tc>
          <w:tcPr>
            <w:tcW w:w="1702" w:type="dxa"/>
            <w:vAlign w:val="center"/>
          </w:tcPr>
          <w:p w14:paraId="379AE65D" w14:textId="77777777" w:rsidR="009B4BA5" w:rsidRPr="001C22A3" w:rsidRDefault="009B4BA5" w:rsidP="009B4BA5">
            <w:pPr>
              <w:jc w:val="center"/>
              <w:rPr>
                <w:iCs/>
                <w:sz w:val="24"/>
                <w:szCs w:val="24"/>
                <w:lang w:val="de-DE"/>
              </w:rPr>
            </w:pPr>
            <w:r w:rsidRPr="001C22A3">
              <w:rPr>
                <w:sz w:val="24"/>
                <w:szCs w:val="24"/>
              </w:rPr>
              <w:t>2.002731</w:t>
            </w:r>
          </w:p>
        </w:tc>
        <w:tc>
          <w:tcPr>
            <w:tcW w:w="2860" w:type="dxa"/>
            <w:vAlign w:val="center"/>
          </w:tcPr>
          <w:p w14:paraId="4C845899" w14:textId="77777777" w:rsidR="009B4BA5" w:rsidRPr="001C22A3" w:rsidRDefault="009B4BA5" w:rsidP="009B4BA5">
            <w:pPr>
              <w:jc w:val="center"/>
              <w:rPr>
                <w:bCs/>
                <w:sz w:val="24"/>
                <w:szCs w:val="24"/>
                <w:lang w:val="nl-NL"/>
              </w:rPr>
            </w:pPr>
            <w:r w:rsidRPr="001C22A3">
              <w:rPr>
                <w:rFonts w:eastAsia="Arial"/>
                <w:sz w:val="24"/>
                <w:szCs w:val="24"/>
              </w:rPr>
              <w:t>Quản lý KCN, KKT</w:t>
            </w:r>
          </w:p>
        </w:tc>
        <w:tc>
          <w:tcPr>
            <w:tcW w:w="1241" w:type="dxa"/>
          </w:tcPr>
          <w:p w14:paraId="0C47C51E" w14:textId="77777777" w:rsidR="009B4BA5" w:rsidRPr="001C22A3" w:rsidRDefault="009B4BA5" w:rsidP="009B4BA5">
            <w:pPr>
              <w:spacing w:before="120" w:after="120" w:line="360" w:lineRule="exact"/>
              <w:jc w:val="center"/>
              <w:rPr>
                <w:rFonts w:eastAsia="Calibri"/>
                <w:sz w:val="24"/>
                <w:szCs w:val="24"/>
                <w:lang w:val="de-DE"/>
              </w:rPr>
            </w:pPr>
            <w:r w:rsidRPr="001C22A3">
              <w:rPr>
                <w:rFonts w:eastAsia="Calibri"/>
                <w:sz w:val="24"/>
                <w:szCs w:val="24"/>
                <w:lang w:val="de-DE"/>
              </w:rPr>
              <w:t>x</w:t>
            </w:r>
          </w:p>
        </w:tc>
        <w:tc>
          <w:tcPr>
            <w:tcW w:w="1645" w:type="dxa"/>
          </w:tcPr>
          <w:p w14:paraId="3861DA14" w14:textId="77777777" w:rsidR="009B4BA5" w:rsidRPr="001C22A3" w:rsidRDefault="009B4BA5" w:rsidP="009B4BA5">
            <w:pPr>
              <w:spacing w:before="120" w:after="120" w:line="360" w:lineRule="exact"/>
              <w:jc w:val="both"/>
              <w:rPr>
                <w:rFonts w:eastAsia="Calibri"/>
                <w:sz w:val="24"/>
                <w:szCs w:val="24"/>
                <w:lang w:val="de-DE"/>
              </w:rPr>
            </w:pPr>
          </w:p>
        </w:tc>
        <w:tc>
          <w:tcPr>
            <w:tcW w:w="2015" w:type="dxa"/>
          </w:tcPr>
          <w:p w14:paraId="1CF8045D" w14:textId="77777777" w:rsidR="009B4BA5" w:rsidRPr="001C22A3" w:rsidRDefault="009B4BA5" w:rsidP="009B4BA5">
            <w:pPr>
              <w:spacing w:before="120" w:after="120" w:line="360" w:lineRule="exact"/>
              <w:jc w:val="both"/>
              <w:rPr>
                <w:rFonts w:eastAsia="Calibri"/>
                <w:sz w:val="24"/>
                <w:szCs w:val="24"/>
                <w:lang w:val="de-DE"/>
              </w:rPr>
            </w:pPr>
          </w:p>
        </w:tc>
      </w:tr>
      <w:tr w:rsidR="009B4BA5" w:rsidRPr="001C22A3" w14:paraId="584D54F7" w14:textId="77777777" w:rsidTr="001C22A3">
        <w:tc>
          <w:tcPr>
            <w:tcW w:w="915" w:type="dxa"/>
          </w:tcPr>
          <w:p w14:paraId="402BF9EA" w14:textId="77777777" w:rsidR="009B4BA5" w:rsidRPr="001C22A3" w:rsidRDefault="009B4BA5" w:rsidP="009B4BA5">
            <w:pPr>
              <w:numPr>
                <w:ilvl w:val="0"/>
                <w:numId w:val="2"/>
              </w:numPr>
              <w:spacing w:before="120" w:after="120" w:line="360" w:lineRule="exact"/>
              <w:ind w:left="567"/>
              <w:jc w:val="both"/>
              <w:rPr>
                <w:rFonts w:eastAsia="Calibri"/>
                <w:sz w:val="24"/>
                <w:szCs w:val="24"/>
                <w:lang w:val="de-DE"/>
              </w:rPr>
            </w:pPr>
          </w:p>
        </w:tc>
        <w:tc>
          <w:tcPr>
            <w:tcW w:w="4183" w:type="dxa"/>
            <w:vAlign w:val="center"/>
          </w:tcPr>
          <w:p w14:paraId="721F58F3" w14:textId="77777777" w:rsidR="009B4BA5" w:rsidRPr="001C22A3" w:rsidRDefault="009B4BA5" w:rsidP="009B4BA5">
            <w:pPr>
              <w:jc w:val="both"/>
              <w:rPr>
                <w:sz w:val="24"/>
                <w:szCs w:val="24"/>
                <w:lang w:val="sv-SE"/>
              </w:rPr>
            </w:pPr>
            <w:r w:rsidRPr="001C22A3">
              <w:rPr>
                <w:sz w:val="24"/>
                <w:szCs w:val="24"/>
                <w:lang w:val="sv-SE"/>
              </w:rPr>
              <w:t>Thủ tục cấp/cấp lại Giấy chứng nhận doanh nghiệp sinh thái</w:t>
            </w:r>
          </w:p>
        </w:tc>
        <w:tc>
          <w:tcPr>
            <w:tcW w:w="1702" w:type="dxa"/>
            <w:vAlign w:val="center"/>
          </w:tcPr>
          <w:p w14:paraId="37A46567" w14:textId="77777777" w:rsidR="009B4BA5" w:rsidRPr="001C22A3" w:rsidRDefault="009B4BA5" w:rsidP="009B4BA5">
            <w:pPr>
              <w:jc w:val="center"/>
              <w:rPr>
                <w:bCs/>
                <w:iCs/>
                <w:sz w:val="24"/>
                <w:szCs w:val="24"/>
                <w:lang w:val="sv-SE"/>
              </w:rPr>
            </w:pPr>
            <w:r w:rsidRPr="001C22A3">
              <w:rPr>
                <w:sz w:val="24"/>
                <w:szCs w:val="24"/>
              </w:rPr>
              <w:t>2.002729</w:t>
            </w:r>
          </w:p>
        </w:tc>
        <w:tc>
          <w:tcPr>
            <w:tcW w:w="2860" w:type="dxa"/>
            <w:vAlign w:val="center"/>
          </w:tcPr>
          <w:p w14:paraId="38D2F576" w14:textId="77777777" w:rsidR="009B4BA5" w:rsidRPr="001C22A3" w:rsidRDefault="009B4BA5" w:rsidP="009B4BA5">
            <w:pPr>
              <w:jc w:val="center"/>
              <w:rPr>
                <w:bCs/>
                <w:sz w:val="24"/>
                <w:szCs w:val="24"/>
                <w:lang w:val="nl-NL"/>
              </w:rPr>
            </w:pPr>
            <w:r w:rsidRPr="001C22A3">
              <w:rPr>
                <w:rFonts w:eastAsia="Arial"/>
                <w:sz w:val="24"/>
                <w:szCs w:val="24"/>
              </w:rPr>
              <w:t>Quản lý KCN, KKT</w:t>
            </w:r>
          </w:p>
        </w:tc>
        <w:tc>
          <w:tcPr>
            <w:tcW w:w="1241" w:type="dxa"/>
          </w:tcPr>
          <w:p w14:paraId="101F8FEE" w14:textId="77777777" w:rsidR="009B4BA5" w:rsidRPr="001C22A3" w:rsidRDefault="009B4BA5" w:rsidP="009B4BA5">
            <w:pPr>
              <w:spacing w:before="120" w:after="120" w:line="360" w:lineRule="exact"/>
              <w:jc w:val="center"/>
              <w:rPr>
                <w:rFonts w:eastAsia="Calibri"/>
                <w:sz w:val="24"/>
                <w:szCs w:val="24"/>
                <w:lang w:val="sv-SE"/>
              </w:rPr>
            </w:pPr>
            <w:r w:rsidRPr="001C22A3">
              <w:rPr>
                <w:rFonts w:eastAsia="Calibri"/>
                <w:sz w:val="24"/>
                <w:szCs w:val="24"/>
                <w:lang w:val="sv-SE"/>
              </w:rPr>
              <w:t>x</w:t>
            </w:r>
          </w:p>
        </w:tc>
        <w:tc>
          <w:tcPr>
            <w:tcW w:w="1645" w:type="dxa"/>
          </w:tcPr>
          <w:p w14:paraId="25E14BB2" w14:textId="77777777" w:rsidR="009B4BA5" w:rsidRPr="001C22A3" w:rsidRDefault="009B4BA5" w:rsidP="009B4BA5">
            <w:pPr>
              <w:spacing w:before="120" w:after="120" w:line="360" w:lineRule="exact"/>
              <w:jc w:val="both"/>
              <w:rPr>
                <w:rFonts w:eastAsia="Calibri"/>
                <w:sz w:val="24"/>
                <w:szCs w:val="24"/>
                <w:lang w:val="sv-SE"/>
              </w:rPr>
            </w:pPr>
          </w:p>
        </w:tc>
        <w:tc>
          <w:tcPr>
            <w:tcW w:w="2015" w:type="dxa"/>
          </w:tcPr>
          <w:p w14:paraId="4F21A1E9" w14:textId="77777777" w:rsidR="009B4BA5" w:rsidRPr="001C22A3" w:rsidRDefault="009B4BA5" w:rsidP="009B4BA5">
            <w:pPr>
              <w:spacing w:before="120" w:after="120" w:line="360" w:lineRule="exact"/>
              <w:jc w:val="both"/>
              <w:rPr>
                <w:rFonts w:eastAsia="Calibri"/>
                <w:sz w:val="24"/>
                <w:szCs w:val="24"/>
                <w:lang w:val="sv-SE"/>
              </w:rPr>
            </w:pPr>
          </w:p>
        </w:tc>
      </w:tr>
      <w:tr w:rsidR="009B4BA5" w:rsidRPr="001C22A3" w14:paraId="2C56F6D8" w14:textId="77777777" w:rsidTr="001C22A3">
        <w:tc>
          <w:tcPr>
            <w:tcW w:w="915" w:type="dxa"/>
          </w:tcPr>
          <w:p w14:paraId="29C16218" w14:textId="77777777" w:rsidR="009B4BA5" w:rsidRPr="001C22A3" w:rsidRDefault="009B4BA5" w:rsidP="009B4BA5">
            <w:pPr>
              <w:numPr>
                <w:ilvl w:val="0"/>
                <w:numId w:val="2"/>
              </w:numPr>
              <w:spacing w:before="120" w:after="120" w:line="360" w:lineRule="exact"/>
              <w:ind w:left="567"/>
              <w:jc w:val="both"/>
              <w:rPr>
                <w:rFonts w:eastAsia="Calibri"/>
                <w:sz w:val="24"/>
                <w:szCs w:val="24"/>
                <w:lang w:val="sv-SE"/>
              </w:rPr>
            </w:pPr>
          </w:p>
        </w:tc>
        <w:tc>
          <w:tcPr>
            <w:tcW w:w="4183" w:type="dxa"/>
            <w:vAlign w:val="center"/>
          </w:tcPr>
          <w:p w14:paraId="7ADD0ECD" w14:textId="77777777" w:rsidR="009B4BA5" w:rsidRPr="001C22A3" w:rsidRDefault="009B4BA5" w:rsidP="009B4BA5">
            <w:pPr>
              <w:widowControl w:val="0"/>
              <w:jc w:val="both"/>
              <w:rPr>
                <w:spacing w:val="-6"/>
                <w:sz w:val="24"/>
                <w:szCs w:val="24"/>
                <w:lang w:val="nl-NL"/>
              </w:rPr>
            </w:pPr>
            <w:r w:rsidRPr="001C22A3">
              <w:rPr>
                <w:spacing w:val="-6"/>
                <w:sz w:val="24"/>
                <w:szCs w:val="24"/>
                <w:lang w:val="nl-NL"/>
              </w:rPr>
              <w:t>Thủ tục chấm dứt hiệu lực và thu hồi Giấy chứng nhận doanh nghiệp sinh thái</w:t>
            </w:r>
          </w:p>
        </w:tc>
        <w:tc>
          <w:tcPr>
            <w:tcW w:w="1702" w:type="dxa"/>
            <w:vAlign w:val="center"/>
          </w:tcPr>
          <w:p w14:paraId="0D8DD7BF" w14:textId="77777777" w:rsidR="009B4BA5" w:rsidRPr="001C22A3" w:rsidRDefault="009B4BA5" w:rsidP="009B4BA5">
            <w:pPr>
              <w:widowControl w:val="0"/>
              <w:jc w:val="center"/>
              <w:rPr>
                <w:sz w:val="24"/>
                <w:szCs w:val="24"/>
                <w:lang w:val="nl-NL"/>
              </w:rPr>
            </w:pPr>
            <w:r w:rsidRPr="001C22A3">
              <w:rPr>
                <w:sz w:val="24"/>
                <w:szCs w:val="24"/>
              </w:rPr>
              <w:t>2.002732</w:t>
            </w:r>
          </w:p>
        </w:tc>
        <w:tc>
          <w:tcPr>
            <w:tcW w:w="2860" w:type="dxa"/>
            <w:vAlign w:val="center"/>
          </w:tcPr>
          <w:p w14:paraId="159A64E0" w14:textId="77777777" w:rsidR="009B4BA5" w:rsidRPr="001C22A3" w:rsidRDefault="009B4BA5" w:rsidP="009B4BA5">
            <w:pPr>
              <w:jc w:val="center"/>
              <w:rPr>
                <w:bCs/>
                <w:sz w:val="24"/>
                <w:szCs w:val="24"/>
                <w:lang w:val="nl-NL"/>
              </w:rPr>
            </w:pPr>
            <w:r w:rsidRPr="001C22A3">
              <w:rPr>
                <w:rFonts w:eastAsia="Arial"/>
                <w:sz w:val="24"/>
                <w:szCs w:val="24"/>
              </w:rPr>
              <w:t>Quản lý KCN, KKT</w:t>
            </w:r>
          </w:p>
        </w:tc>
        <w:tc>
          <w:tcPr>
            <w:tcW w:w="1241" w:type="dxa"/>
          </w:tcPr>
          <w:p w14:paraId="5F1C9879" w14:textId="77777777" w:rsidR="009B4BA5" w:rsidRPr="001C22A3" w:rsidRDefault="009B4BA5" w:rsidP="009B4BA5">
            <w:pPr>
              <w:spacing w:before="120" w:after="120" w:line="360" w:lineRule="exact"/>
              <w:jc w:val="center"/>
              <w:rPr>
                <w:rFonts w:eastAsia="Calibri"/>
                <w:sz w:val="24"/>
                <w:szCs w:val="24"/>
                <w:lang w:val="nl-NL"/>
              </w:rPr>
            </w:pPr>
            <w:r w:rsidRPr="001C22A3">
              <w:rPr>
                <w:rFonts w:eastAsia="Calibri"/>
                <w:sz w:val="24"/>
                <w:szCs w:val="24"/>
                <w:lang w:val="nl-NL"/>
              </w:rPr>
              <w:t>x</w:t>
            </w:r>
          </w:p>
        </w:tc>
        <w:tc>
          <w:tcPr>
            <w:tcW w:w="1645" w:type="dxa"/>
          </w:tcPr>
          <w:p w14:paraId="67125583" w14:textId="77777777" w:rsidR="009B4BA5" w:rsidRPr="001C22A3" w:rsidRDefault="009B4BA5" w:rsidP="009B4BA5">
            <w:pPr>
              <w:spacing w:before="120" w:after="120" w:line="360" w:lineRule="exact"/>
              <w:jc w:val="both"/>
              <w:rPr>
                <w:rFonts w:eastAsia="Calibri"/>
                <w:sz w:val="24"/>
                <w:szCs w:val="24"/>
                <w:lang w:val="nl-NL"/>
              </w:rPr>
            </w:pPr>
          </w:p>
        </w:tc>
        <w:tc>
          <w:tcPr>
            <w:tcW w:w="2015" w:type="dxa"/>
          </w:tcPr>
          <w:p w14:paraId="45677096" w14:textId="77777777" w:rsidR="009B4BA5" w:rsidRPr="001C22A3" w:rsidRDefault="009B4BA5" w:rsidP="009B4BA5">
            <w:pPr>
              <w:spacing w:before="120" w:after="120" w:line="360" w:lineRule="exact"/>
              <w:jc w:val="both"/>
              <w:rPr>
                <w:rFonts w:eastAsia="Calibri"/>
                <w:sz w:val="24"/>
                <w:szCs w:val="24"/>
                <w:lang w:val="nl-NL"/>
              </w:rPr>
            </w:pPr>
          </w:p>
        </w:tc>
      </w:tr>
      <w:tr w:rsidR="009B4BA5" w:rsidRPr="001C22A3" w14:paraId="6AF9B237" w14:textId="77777777" w:rsidTr="001C22A3">
        <w:tc>
          <w:tcPr>
            <w:tcW w:w="915" w:type="dxa"/>
          </w:tcPr>
          <w:p w14:paraId="1F4899D5" w14:textId="77777777" w:rsidR="009B4BA5" w:rsidRPr="001C22A3" w:rsidRDefault="009B4BA5" w:rsidP="009B4BA5">
            <w:pPr>
              <w:numPr>
                <w:ilvl w:val="0"/>
                <w:numId w:val="2"/>
              </w:numPr>
              <w:spacing w:before="120" w:after="120" w:line="360" w:lineRule="exact"/>
              <w:ind w:left="567"/>
              <w:jc w:val="both"/>
              <w:rPr>
                <w:rFonts w:eastAsia="Calibri"/>
                <w:sz w:val="24"/>
                <w:szCs w:val="24"/>
                <w:lang w:val="nl-NL"/>
              </w:rPr>
            </w:pPr>
          </w:p>
        </w:tc>
        <w:tc>
          <w:tcPr>
            <w:tcW w:w="4183" w:type="dxa"/>
            <w:vAlign w:val="center"/>
          </w:tcPr>
          <w:p w14:paraId="3F42404B" w14:textId="77777777" w:rsidR="009B4BA5" w:rsidRPr="001C22A3" w:rsidRDefault="009B4BA5" w:rsidP="009B4BA5">
            <w:pPr>
              <w:widowControl w:val="0"/>
              <w:jc w:val="both"/>
              <w:rPr>
                <w:sz w:val="24"/>
                <w:szCs w:val="24"/>
                <w:lang w:val="nl-NL"/>
              </w:rPr>
            </w:pPr>
            <w:r w:rsidRPr="001C22A3">
              <w:rPr>
                <w:sz w:val="24"/>
                <w:szCs w:val="24"/>
                <w:lang w:val="nl-NL"/>
              </w:rPr>
              <w:t>Thủ tục hỗ trợ chi phí</w:t>
            </w:r>
          </w:p>
        </w:tc>
        <w:tc>
          <w:tcPr>
            <w:tcW w:w="1702" w:type="dxa"/>
            <w:vAlign w:val="center"/>
          </w:tcPr>
          <w:p w14:paraId="6BA954C3" w14:textId="77777777" w:rsidR="009B4BA5" w:rsidRPr="001C22A3" w:rsidRDefault="009B4BA5" w:rsidP="009B4BA5">
            <w:pPr>
              <w:widowControl w:val="0"/>
              <w:jc w:val="center"/>
              <w:rPr>
                <w:sz w:val="24"/>
                <w:szCs w:val="24"/>
                <w:lang w:val="nl-NL"/>
              </w:rPr>
            </w:pPr>
            <w:r w:rsidRPr="001C22A3">
              <w:rPr>
                <w:sz w:val="24"/>
                <w:szCs w:val="24"/>
                <w:lang w:val="nl-NL"/>
              </w:rPr>
              <w:t>1.014316</w:t>
            </w:r>
          </w:p>
        </w:tc>
        <w:tc>
          <w:tcPr>
            <w:tcW w:w="2860" w:type="dxa"/>
            <w:vAlign w:val="center"/>
          </w:tcPr>
          <w:p w14:paraId="5A259CAC" w14:textId="77777777" w:rsidR="009B4BA5" w:rsidRPr="001C22A3" w:rsidRDefault="009B4BA5" w:rsidP="009B4BA5">
            <w:pPr>
              <w:jc w:val="center"/>
              <w:rPr>
                <w:bCs/>
                <w:sz w:val="24"/>
                <w:szCs w:val="24"/>
                <w:lang w:val="nl-NL"/>
              </w:rPr>
            </w:pPr>
            <w:r w:rsidRPr="001C22A3">
              <w:rPr>
                <w:bCs/>
                <w:sz w:val="24"/>
                <w:szCs w:val="24"/>
                <w:lang w:val="nl-NL"/>
              </w:rPr>
              <w:t>Hỗ trợ đầu tư</w:t>
            </w:r>
          </w:p>
        </w:tc>
        <w:tc>
          <w:tcPr>
            <w:tcW w:w="1241" w:type="dxa"/>
          </w:tcPr>
          <w:p w14:paraId="6FF8589C" w14:textId="77777777" w:rsidR="009B4BA5" w:rsidRPr="001C22A3" w:rsidRDefault="009B4BA5" w:rsidP="009B4BA5">
            <w:pPr>
              <w:spacing w:before="120" w:after="120" w:line="360" w:lineRule="exact"/>
              <w:jc w:val="center"/>
              <w:rPr>
                <w:rFonts w:eastAsia="Calibri"/>
                <w:sz w:val="24"/>
                <w:szCs w:val="24"/>
                <w:lang w:val="nl-NL"/>
              </w:rPr>
            </w:pPr>
            <w:r w:rsidRPr="001C22A3">
              <w:rPr>
                <w:rFonts w:eastAsia="Calibri"/>
                <w:sz w:val="24"/>
                <w:szCs w:val="24"/>
                <w:lang w:val="nl-NL"/>
              </w:rPr>
              <w:t>x</w:t>
            </w:r>
          </w:p>
        </w:tc>
        <w:tc>
          <w:tcPr>
            <w:tcW w:w="1645" w:type="dxa"/>
          </w:tcPr>
          <w:p w14:paraId="256C489E" w14:textId="77777777" w:rsidR="009B4BA5" w:rsidRPr="001C22A3" w:rsidRDefault="009B4BA5" w:rsidP="009B4BA5">
            <w:pPr>
              <w:spacing w:before="120" w:after="120" w:line="360" w:lineRule="exact"/>
              <w:jc w:val="both"/>
              <w:rPr>
                <w:rFonts w:eastAsia="Calibri"/>
                <w:sz w:val="24"/>
                <w:szCs w:val="24"/>
                <w:lang w:val="nl-NL"/>
              </w:rPr>
            </w:pPr>
          </w:p>
        </w:tc>
        <w:tc>
          <w:tcPr>
            <w:tcW w:w="2015" w:type="dxa"/>
          </w:tcPr>
          <w:p w14:paraId="462A9743" w14:textId="77777777" w:rsidR="009B4BA5" w:rsidRPr="001C22A3" w:rsidRDefault="009B4BA5" w:rsidP="009B4BA5">
            <w:pPr>
              <w:spacing w:before="120" w:after="120" w:line="360" w:lineRule="exact"/>
              <w:jc w:val="both"/>
              <w:rPr>
                <w:rFonts w:eastAsia="Calibri"/>
                <w:sz w:val="24"/>
                <w:szCs w:val="24"/>
                <w:lang w:val="nl-NL"/>
              </w:rPr>
            </w:pPr>
          </w:p>
        </w:tc>
      </w:tr>
    </w:tbl>
    <w:p w14:paraId="3375391E" w14:textId="77777777" w:rsidR="00FD2614" w:rsidRPr="001C22A3" w:rsidRDefault="00FD2614" w:rsidP="003C4AB9">
      <w:pPr>
        <w:spacing w:line="340" w:lineRule="exact"/>
        <w:ind w:firstLine="567"/>
        <w:jc w:val="both"/>
        <w:rPr>
          <w:spacing w:val="4"/>
          <w:sz w:val="24"/>
          <w:szCs w:val="24"/>
        </w:rPr>
      </w:pPr>
    </w:p>
    <w:sectPr w:rsidR="00FD2614" w:rsidRPr="001C22A3" w:rsidSect="001C22A3">
      <w:headerReference w:type="default" r:id="rId7"/>
      <w:headerReference w:type="first" r:id="rId8"/>
      <w:pgSz w:w="16839" w:h="11907" w:orient="landscape" w:code="9"/>
      <w:pgMar w:top="1134" w:right="1134" w:bottom="1134" w:left="1134" w:header="510" w:footer="748" w:gutter="0"/>
      <w:pgNumType w:start="78"/>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28430D" w14:textId="77777777" w:rsidR="00B007D0" w:rsidRDefault="00B007D0" w:rsidP="009B4BA5">
      <w:r>
        <w:separator/>
      </w:r>
    </w:p>
  </w:endnote>
  <w:endnote w:type="continuationSeparator" w:id="0">
    <w:p w14:paraId="4A1DB129" w14:textId="77777777" w:rsidR="00B007D0" w:rsidRDefault="00B007D0" w:rsidP="009B4B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7EEF53" w14:textId="77777777" w:rsidR="00B007D0" w:rsidRDefault="00B007D0" w:rsidP="009B4BA5">
      <w:r>
        <w:separator/>
      </w:r>
    </w:p>
  </w:footnote>
  <w:footnote w:type="continuationSeparator" w:id="0">
    <w:p w14:paraId="24B109CF" w14:textId="77777777" w:rsidR="00B007D0" w:rsidRDefault="00B007D0" w:rsidP="009B4B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6266338"/>
      <w:docPartObj>
        <w:docPartGallery w:val="Page Numbers (Top of Page)"/>
        <w:docPartUnique/>
      </w:docPartObj>
    </w:sdtPr>
    <w:sdtEndPr>
      <w:rPr>
        <w:noProof/>
      </w:rPr>
    </w:sdtEndPr>
    <w:sdtContent>
      <w:p w14:paraId="31D49002" w14:textId="01BBC1B1" w:rsidR="001C22A3" w:rsidRDefault="001C22A3">
        <w:pPr>
          <w:pStyle w:val="Header"/>
          <w:jc w:val="center"/>
        </w:pPr>
        <w:r w:rsidRPr="001C22A3">
          <w:rPr>
            <w:sz w:val="26"/>
            <w:szCs w:val="26"/>
          </w:rPr>
          <w:fldChar w:fldCharType="begin"/>
        </w:r>
        <w:r w:rsidRPr="001C22A3">
          <w:rPr>
            <w:sz w:val="26"/>
            <w:szCs w:val="26"/>
          </w:rPr>
          <w:instrText xml:space="preserve"> PAGE   \* MERGEFORMAT </w:instrText>
        </w:r>
        <w:r w:rsidRPr="001C22A3">
          <w:rPr>
            <w:sz w:val="26"/>
            <w:szCs w:val="26"/>
          </w:rPr>
          <w:fldChar w:fldCharType="separate"/>
        </w:r>
        <w:r w:rsidRPr="001C22A3">
          <w:rPr>
            <w:noProof/>
            <w:sz w:val="26"/>
            <w:szCs w:val="26"/>
          </w:rPr>
          <w:t>2</w:t>
        </w:r>
        <w:r w:rsidRPr="001C22A3">
          <w:rPr>
            <w:noProof/>
            <w:sz w:val="26"/>
            <w:szCs w:val="26"/>
          </w:rPr>
          <w:fldChar w:fldCharType="end"/>
        </w:r>
      </w:p>
    </w:sdtContent>
  </w:sdt>
  <w:p w14:paraId="6DB0DEE9" w14:textId="77777777" w:rsidR="001C22A3" w:rsidRDefault="001C22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8993182"/>
      <w:docPartObj>
        <w:docPartGallery w:val="Page Numbers (Top of Page)"/>
        <w:docPartUnique/>
      </w:docPartObj>
    </w:sdtPr>
    <w:sdtEndPr>
      <w:rPr>
        <w:noProof/>
      </w:rPr>
    </w:sdtEndPr>
    <w:sdtContent>
      <w:p w14:paraId="42FFE377" w14:textId="2133DB70" w:rsidR="001C22A3" w:rsidRDefault="001C22A3">
        <w:pPr>
          <w:pStyle w:val="Header"/>
          <w:jc w:val="center"/>
        </w:pPr>
        <w:r w:rsidRPr="001C22A3">
          <w:rPr>
            <w:sz w:val="26"/>
            <w:szCs w:val="26"/>
          </w:rPr>
          <w:fldChar w:fldCharType="begin"/>
        </w:r>
        <w:r w:rsidRPr="001C22A3">
          <w:rPr>
            <w:sz w:val="26"/>
            <w:szCs w:val="26"/>
          </w:rPr>
          <w:instrText xml:space="preserve"> PAGE   \* MERGEFORMAT </w:instrText>
        </w:r>
        <w:r w:rsidRPr="001C22A3">
          <w:rPr>
            <w:sz w:val="26"/>
            <w:szCs w:val="26"/>
          </w:rPr>
          <w:fldChar w:fldCharType="separate"/>
        </w:r>
        <w:r w:rsidRPr="001C22A3">
          <w:rPr>
            <w:noProof/>
            <w:sz w:val="26"/>
            <w:szCs w:val="26"/>
          </w:rPr>
          <w:t>2</w:t>
        </w:r>
        <w:r w:rsidRPr="001C22A3">
          <w:rPr>
            <w:noProof/>
            <w:sz w:val="26"/>
            <w:szCs w:val="26"/>
          </w:rPr>
          <w:fldChar w:fldCharType="end"/>
        </w:r>
      </w:p>
    </w:sdtContent>
  </w:sdt>
  <w:p w14:paraId="1FC681BC" w14:textId="77777777" w:rsidR="001C22A3" w:rsidRDefault="001C22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B21C1"/>
    <w:multiLevelType w:val="hybridMultilevel"/>
    <w:tmpl w:val="648A8F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2A4290E"/>
    <w:multiLevelType w:val="hybridMultilevel"/>
    <w:tmpl w:val="56FC9764"/>
    <w:lvl w:ilvl="0" w:tplc="4782AB06">
      <w:numFmt w:val="bullet"/>
      <w:lvlText w:val="-"/>
      <w:lvlJc w:val="left"/>
      <w:pPr>
        <w:ind w:left="189"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89027EB4">
      <w:numFmt w:val="bullet"/>
      <w:lvlText w:val="•"/>
      <w:lvlJc w:val="left"/>
      <w:pPr>
        <w:ind w:left="584" w:hanging="140"/>
      </w:pPr>
      <w:rPr>
        <w:rFonts w:hint="default"/>
        <w:lang w:val="vi" w:eastAsia="en-US" w:bidi="ar-SA"/>
      </w:rPr>
    </w:lvl>
    <w:lvl w:ilvl="2" w:tplc="2B4449DA">
      <w:numFmt w:val="bullet"/>
      <w:lvlText w:val="•"/>
      <w:lvlJc w:val="left"/>
      <w:pPr>
        <w:ind w:left="988" w:hanging="140"/>
      </w:pPr>
      <w:rPr>
        <w:rFonts w:hint="default"/>
        <w:lang w:val="vi" w:eastAsia="en-US" w:bidi="ar-SA"/>
      </w:rPr>
    </w:lvl>
    <w:lvl w:ilvl="3" w:tplc="B7549402">
      <w:numFmt w:val="bullet"/>
      <w:lvlText w:val="•"/>
      <w:lvlJc w:val="left"/>
      <w:pPr>
        <w:ind w:left="1393" w:hanging="140"/>
      </w:pPr>
      <w:rPr>
        <w:rFonts w:hint="default"/>
        <w:lang w:val="vi" w:eastAsia="en-US" w:bidi="ar-SA"/>
      </w:rPr>
    </w:lvl>
    <w:lvl w:ilvl="4" w:tplc="767619F8">
      <w:numFmt w:val="bullet"/>
      <w:lvlText w:val="•"/>
      <w:lvlJc w:val="left"/>
      <w:pPr>
        <w:ind w:left="1797" w:hanging="140"/>
      </w:pPr>
      <w:rPr>
        <w:rFonts w:hint="default"/>
        <w:lang w:val="vi" w:eastAsia="en-US" w:bidi="ar-SA"/>
      </w:rPr>
    </w:lvl>
    <w:lvl w:ilvl="5" w:tplc="AFACC83C">
      <w:numFmt w:val="bullet"/>
      <w:lvlText w:val="•"/>
      <w:lvlJc w:val="left"/>
      <w:pPr>
        <w:ind w:left="2202" w:hanging="140"/>
      </w:pPr>
      <w:rPr>
        <w:rFonts w:hint="default"/>
        <w:lang w:val="vi" w:eastAsia="en-US" w:bidi="ar-SA"/>
      </w:rPr>
    </w:lvl>
    <w:lvl w:ilvl="6" w:tplc="5002C748">
      <w:numFmt w:val="bullet"/>
      <w:lvlText w:val="•"/>
      <w:lvlJc w:val="left"/>
      <w:pPr>
        <w:ind w:left="2606" w:hanging="140"/>
      </w:pPr>
      <w:rPr>
        <w:rFonts w:hint="default"/>
        <w:lang w:val="vi" w:eastAsia="en-US" w:bidi="ar-SA"/>
      </w:rPr>
    </w:lvl>
    <w:lvl w:ilvl="7" w:tplc="CCF09516">
      <w:numFmt w:val="bullet"/>
      <w:lvlText w:val="•"/>
      <w:lvlJc w:val="left"/>
      <w:pPr>
        <w:ind w:left="3010" w:hanging="140"/>
      </w:pPr>
      <w:rPr>
        <w:rFonts w:hint="default"/>
        <w:lang w:val="vi" w:eastAsia="en-US" w:bidi="ar-SA"/>
      </w:rPr>
    </w:lvl>
    <w:lvl w:ilvl="8" w:tplc="E52C9070">
      <w:numFmt w:val="bullet"/>
      <w:lvlText w:val="•"/>
      <w:lvlJc w:val="left"/>
      <w:pPr>
        <w:ind w:left="3415" w:hanging="140"/>
      </w:pPr>
      <w:rPr>
        <w:rFonts w:hint="default"/>
        <w:lang w:val="vi" w:eastAsia="en-US" w:bidi="ar-SA"/>
      </w:rPr>
    </w:lvl>
  </w:abstractNum>
  <w:num w:numId="1" w16cid:durableId="1050497824">
    <w:abstractNumId w:val="1"/>
  </w:num>
  <w:num w:numId="2" w16cid:durableId="110351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0859"/>
    <w:rsid w:val="000165D7"/>
    <w:rsid w:val="00077F13"/>
    <w:rsid w:val="000A1F31"/>
    <w:rsid w:val="00166482"/>
    <w:rsid w:val="001A4D10"/>
    <w:rsid w:val="001B7F03"/>
    <w:rsid w:val="001C22A3"/>
    <w:rsid w:val="001D59E5"/>
    <w:rsid w:val="001E7AE1"/>
    <w:rsid w:val="001F3BE5"/>
    <w:rsid w:val="002035AD"/>
    <w:rsid w:val="00236E51"/>
    <w:rsid w:val="00273C30"/>
    <w:rsid w:val="002A00AD"/>
    <w:rsid w:val="002B09BA"/>
    <w:rsid w:val="002C36AE"/>
    <w:rsid w:val="002E32E1"/>
    <w:rsid w:val="003A26CF"/>
    <w:rsid w:val="003C4AB9"/>
    <w:rsid w:val="003D2302"/>
    <w:rsid w:val="003E0439"/>
    <w:rsid w:val="004A0456"/>
    <w:rsid w:val="004D3089"/>
    <w:rsid w:val="005055B8"/>
    <w:rsid w:val="00537B8D"/>
    <w:rsid w:val="0055028C"/>
    <w:rsid w:val="0055555A"/>
    <w:rsid w:val="00557E40"/>
    <w:rsid w:val="005773E1"/>
    <w:rsid w:val="00614258"/>
    <w:rsid w:val="00635FB5"/>
    <w:rsid w:val="006A19B4"/>
    <w:rsid w:val="006B7559"/>
    <w:rsid w:val="006D3F17"/>
    <w:rsid w:val="00713C2B"/>
    <w:rsid w:val="007C543F"/>
    <w:rsid w:val="007D20A7"/>
    <w:rsid w:val="007D27F5"/>
    <w:rsid w:val="00834380"/>
    <w:rsid w:val="00835431"/>
    <w:rsid w:val="008744EC"/>
    <w:rsid w:val="008D272F"/>
    <w:rsid w:val="0096223C"/>
    <w:rsid w:val="00971F2E"/>
    <w:rsid w:val="009824AC"/>
    <w:rsid w:val="00992E30"/>
    <w:rsid w:val="009B4BA5"/>
    <w:rsid w:val="009F431A"/>
    <w:rsid w:val="00A0400A"/>
    <w:rsid w:val="00A80859"/>
    <w:rsid w:val="00B007D0"/>
    <w:rsid w:val="00B14735"/>
    <w:rsid w:val="00B5427B"/>
    <w:rsid w:val="00BA36A1"/>
    <w:rsid w:val="00C02E0C"/>
    <w:rsid w:val="00C23296"/>
    <w:rsid w:val="00C27EFF"/>
    <w:rsid w:val="00C83D32"/>
    <w:rsid w:val="00CB4114"/>
    <w:rsid w:val="00CF5BD7"/>
    <w:rsid w:val="00DA5D98"/>
    <w:rsid w:val="00DB38F6"/>
    <w:rsid w:val="00E13169"/>
    <w:rsid w:val="00E369BF"/>
    <w:rsid w:val="00E4012C"/>
    <w:rsid w:val="00EB5E9A"/>
    <w:rsid w:val="00EF6000"/>
    <w:rsid w:val="00F03CCF"/>
    <w:rsid w:val="00F4244F"/>
    <w:rsid w:val="00F95595"/>
    <w:rsid w:val="00FD26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D3F9E"/>
  <w15:chartTrackingRefBased/>
  <w15:docId w15:val="{F20F7FC5-BC9B-4DC2-8171-0D53B2B84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ind w:left="170" w:right="170"/>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0859"/>
    <w:pPr>
      <w:ind w:left="0" w:right="0"/>
      <w:jc w:val="left"/>
    </w:pPr>
    <w:rPr>
      <w:rFonts w:eastAsia="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F3B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B4BA5"/>
  </w:style>
  <w:style w:type="character" w:customStyle="1" w:styleId="FootnoteTextChar">
    <w:name w:val="Footnote Text Char"/>
    <w:basedOn w:val="DefaultParagraphFont"/>
    <w:link w:val="FootnoteText"/>
    <w:uiPriority w:val="99"/>
    <w:semiHidden/>
    <w:rsid w:val="009B4BA5"/>
    <w:rPr>
      <w:rFonts w:eastAsia="Times New Roman" w:cs="Times New Roman"/>
      <w:sz w:val="20"/>
      <w:szCs w:val="20"/>
    </w:rPr>
  </w:style>
  <w:style w:type="character" w:styleId="FootnoteReference">
    <w:name w:val="footnote reference"/>
    <w:uiPriority w:val="99"/>
    <w:unhideWhenUsed/>
    <w:rsid w:val="009B4BA5"/>
    <w:rPr>
      <w:vertAlign w:val="superscript"/>
    </w:rPr>
  </w:style>
  <w:style w:type="paragraph" w:styleId="Header">
    <w:name w:val="header"/>
    <w:basedOn w:val="Normal"/>
    <w:link w:val="HeaderChar"/>
    <w:uiPriority w:val="99"/>
    <w:unhideWhenUsed/>
    <w:rsid w:val="001C22A3"/>
    <w:pPr>
      <w:tabs>
        <w:tab w:val="center" w:pos="4680"/>
        <w:tab w:val="right" w:pos="9360"/>
      </w:tabs>
    </w:pPr>
  </w:style>
  <w:style w:type="character" w:customStyle="1" w:styleId="HeaderChar">
    <w:name w:val="Header Char"/>
    <w:basedOn w:val="DefaultParagraphFont"/>
    <w:link w:val="Header"/>
    <w:uiPriority w:val="99"/>
    <w:rsid w:val="001C22A3"/>
    <w:rPr>
      <w:rFonts w:eastAsia="Times New Roman" w:cs="Times New Roman"/>
      <w:sz w:val="20"/>
      <w:szCs w:val="20"/>
    </w:rPr>
  </w:style>
  <w:style w:type="paragraph" w:styleId="Footer">
    <w:name w:val="footer"/>
    <w:basedOn w:val="Normal"/>
    <w:link w:val="FooterChar"/>
    <w:uiPriority w:val="99"/>
    <w:unhideWhenUsed/>
    <w:rsid w:val="001C22A3"/>
    <w:pPr>
      <w:tabs>
        <w:tab w:val="center" w:pos="4680"/>
        <w:tab w:val="right" w:pos="9360"/>
      </w:tabs>
    </w:pPr>
  </w:style>
  <w:style w:type="character" w:customStyle="1" w:styleId="FooterChar">
    <w:name w:val="Footer Char"/>
    <w:basedOn w:val="DefaultParagraphFont"/>
    <w:link w:val="Footer"/>
    <w:uiPriority w:val="99"/>
    <w:rsid w:val="001C22A3"/>
    <w:rPr>
      <w:rFonts w:eastAsia="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394</Words>
  <Characters>2248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Nhữ Thanh Tùng</cp:lastModifiedBy>
  <cp:revision>3</cp:revision>
  <cp:lastPrinted>2024-07-23T01:54:00Z</cp:lastPrinted>
  <dcterms:created xsi:type="dcterms:W3CDTF">2025-12-23T01:38:00Z</dcterms:created>
  <dcterms:modified xsi:type="dcterms:W3CDTF">2025-12-26T08:53:00Z</dcterms:modified>
</cp:coreProperties>
</file>